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A3" w:rsidRDefault="00F738A3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F738A3" w:rsidRDefault="00F738A3">
      <w:pPr>
        <w:pStyle w:val="ConsPlusNormal"/>
        <w:jc w:val="both"/>
        <w:outlineLvl w:val="0"/>
      </w:pPr>
    </w:p>
    <w:p w:rsidR="00F738A3" w:rsidRDefault="00F738A3">
      <w:pPr>
        <w:pStyle w:val="ConsPlusNormal"/>
        <w:outlineLvl w:val="0"/>
      </w:pPr>
      <w:r>
        <w:t>Зарегистрировано в Минюсте России 28 октября 2014 г. N 34493</w:t>
      </w:r>
    </w:p>
    <w:p w:rsidR="00F738A3" w:rsidRDefault="00F738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38A3" w:rsidRDefault="00F738A3">
      <w:pPr>
        <w:pStyle w:val="ConsPlusNormal"/>
        <w:jc w:val="both"/>
      </w:pPr>
    </w:p>
    <w:p w:rsidR="00F738A3" w:rsidRDefault="00F738A3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F738A3" w:rsidRDefault="00F738A3">
      <w:pPr>
        <w:pStyle w:val="ConsPlusNormal"/>
        <w:jc w:val="center"/>
        <w:rPr>
          <w:b/>
          <w:bCs/>
        </w:rPr>
      </w:pPr>
    </w:p>
    <w:p w:rsidR="00F738A3" w:rsidRDefault="00F738A3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F738A3" w:rsidRDefault="00F738A3">
      <w:pPr>
        <w:pStyle w:val="ConsPlusNormal"/>
        <w:jc w:val="center"/>
        <w:rPr>
          <w:b/>
          <w:bCs/>
        </w:rPr>
      </w:pPr>
      <w:r>
        <w:rPr>
          <w:b/>
          <w:bCs/>
        </w:rPr>
        <w:t>от 27 августа 2014 г. N 1141</w:t>
      </w:r>
    </w:p>
    <w:p w:rsidR="00F738A3" w:rsidRDefault="00F738A3">
      <w:pPr>
        <w:pStyle w:val="ConsPlusNormal"/>
        <w:jc w:val="center"/>
        <w:rPr>
          <w:b/>
          <w:bCs/>
        </w:rPr>
      </w:pPr>
    </w:p>
    <w:p w:rsidR="00F738A3" w:rsidRDefault="00F738A3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F738A3" w:rsidRDefault="00F738A3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F738A3" w:rsidRDefault="00F738A3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ВЫСШЕГО ОБРАЗОВАНИЯ ПО СПЕЦИАЛЬНОСТИ </w:t>
      </w:r>
      <w:bookmarkStart w:id="0" w:name="_GoBack"/>
      <w:r>
        <w:rPr>
          <w:b/>
          <w:bCs/>
        </w:rPr>
        <w:t>32.08.14 БАКТЕРИОЛОГИЯ</w:t>
      </w:r>
      <w:bookmarkEnd w:id="0"/>
    </w:p>
    <w:p w:rsidR="00F738A3" w:rsidRDefault="00F738A3">
      <w:pPr>
        <w:pStyle w:val="ConsPlusNormal"/>
        <w:jc w:val="center"/>
        <w:rPr>
          <w:b/>
          <w:bCs/>
        </w:rPr>
      </w:pPr>
      <w:r>
        <w:rPr>
          <w:b/>
          <w:bCs/>
        </w:rPr>
        <w:t>(УРОВЕНЬ ПОДГОТОВКИ КАДРОВ ВЫСШЕЙ КВАЛИФИКАЦИИ)</w:t>
      </w:r>
    </w:p>
    <w:p w:rsidR="00F738A3" w:rsidRDefault="00F738A3">
      <w:pPr>
        <w:pStyle w:val="ConsPlusNormal"/>
        <w:jc w:val="both"/>
      </w:pPr>
    </w:p>
    <w:p w:rsidR="00F738A3" w:rsidRDefault="00F738A3">
      <w:pPr>
        <w:pStyle w:val="ConsPlusNormal"/>
        <w:ind w:firstLine="540"/>
        <w:jc w:val="both"/>
      </w:pPr>
      <w:proofErr w:type="gramStart"/>
      <w:r>
        <w:t>В соответствии с подпунктом 5.2.42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F738A3" w:rsidRDefault="00F738A3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ar31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32.08.14 Бактериология (уровень подготовки кадров высшей квалификации).</w:t>
      </w:r>
    </w:p>
    <w:p w:rsidR="00F738A3" w:rsidRDefault="00F738A3">
      <w:pPr>
        <w:pStyle w:val="ConsPlusNormal"/>
        <w:jc w:val="both"/>
      </w:pPr>
    </w:p>
    <w:p w:rsidR="00F738A3" w:rsidRDefault="00F738A3">
      <w:pPr>
        <w:pStyle w:val="ConsPlusNormal"/>
        <w:jc w:val="right"/>
      </w:pPr>
      <w:r>
        <w:t>Министр</w:t>
      </w:r>
    </w:p>
    <w:p w:rsidR="00F738A3" w:rsidRDefault="00F738A3">
      <w:pPr>
        <w:pStyle w:val="ConsPlusNormal"/>
        <w:jc w:val="right"/>
      </w:pPr>
      <w:r>
        <w:t>Д.В.ЛИВАНОВ</w:t>
      </w:r>
    </w:p>
    <w:p w:rsidR="00F738A3" w:rsidRDefault="00F738A3">
      <w:pPr>
        <w:pStyle w:val="ConsPlusNormal"/>
        <w:jc w:val="both"/>
      </w:pPr>
    </w:p>
    <w:p w:rsidR="00F738A3" w:rsidRDefault="00F738A3">
      <w:pPr>
        <w:pStyle w:val="ConsPlusNormal"/>
        <w:jc w:val="both"/>
      </w:pPr>
    </w:p>
    <w:p w:rsidR="00F738A3" w:rsidRDefault="00F738A3">
      <w:pPr>
        <w:pStyle w:val="ConsPlusNormal"/>
        <w:jc w:val="both"/>
      </w:pPr>
    </w:p>
    <w:p w:rsidR="00F738A3" w:rsidRDefault="00F738A3">
      <w:pPr>
        <w:pStyle w:val="ConsPlusNormal"/>
        <w:jc w:val="both"/>
      </w:pPr>
    </w:p>
    <w:p w:rsidR="00F738A3" w:rsidRDefault="00F738A3">
      <w:pPr>
        <w:pStyle w:val="ConsPlusNormal"/>
        <w:jc w:val="both"/>
      </w:pPr>
    </w:p>
    <w:p w:rsidR="00F738A3" w:rsidRDefault="00F738A3">
      <w:pPr>
        <w:pStyle w:val="ConsPlusNormal"/>
        <w:jc w:val="right"/>
        <w:outlineLvl w:val="0"/>
      </w:pPr>
      <w:r>
        <w:t>Приложение</w:t>
      </w:r>
    </w:p>
    <w:p w:rsidR="00F738A3" w:rsidRDefault="00F738A3">
      <w:pPr>
        <w:pStyle w:val="ConsPlusNormal"/>
        <w:jc w:val="both"/>
      </w:pPr>
    </w:p>
    <w:p w:rsidR="00F738A3" w:rsidRDefault="00F738A3">
      <w:pPr>
        <w:pStyle w:val="ConsPlusNormal"/>
        <w:jc w:val="right"/>
      </w:pPr>
      <w:r>
        <w:t>Утвержден</w:t>
      </w:r>
    </w:p>
    <w:p w:rsidR="00F738A3" w:rsidRDefault="00F738A3">
      <w:pPr>
        <w:pStyle w:val="ConsPlusNormal"/>
        <w:jc w:val="right"/>
      </w:pPr>
      <w:r>
        <w:t>приказом Министерства образования</w:t>
      </w:r>
    </w:p>
    <w:p w:rsidR="00F738A3" w:rsidRDefault="00F738A3">
      <w:pPr>
        <w:pStyle w:val="ConsPlusNormal"/>
        <w:jc w:val="right"/>
      </w:pPr>
      <w:r>
        <w:t>и науки Российской Федерации</w:t>
      </w:r>
    </w:p>
    <w:p w:rsidR="00F738A3" w:rsidRDefault="00F738A3">
      <w:pPr>
        <w:pStyle w:val="ConsPlusNormal"/>
        <w:jc w:val="right"/>
      </w:pPr>
      <w:r>
        <w:t>от 27 августа 2014 г. N 1141</w:t>
      </w:r>
    </w:p>
    <w:p w:rsidR="00F738A3" w:rsidRDefault="00F738A3">
      <w:pPr>
        <w:pStyle w:val="ConsPlusNormal"/>
        <w:jc w:val="both"/>
      </w:pPr>
    </w:p>
    <w:p w:rsidR="00F738A3" w:rsidRDefault="00F738A3">
      <w:pPr>
        <w:pStyle w:val="ConsPlusNormal"/>
        <w:jc w:val="center"/>
        <w:rPr>
          <w:b/>
          <w:bCs/>
        </w:rPr>
      </w:pPr>
      <w:bookmarkStart w:id="1" w:name="Par31"/>
      <w:bookmarkEnd w:id="1"/>
      <w:r>
        <w:rPr>
          <w:b/>
          <w:bCs/>
        </w:rPr>
        <w:t>ФЕДЕРАЛЬНЫЙ ГОСУДАРСТВЕННЫЙ ОБРАЗОВАТЕЛЬНЫЙ СТАНДАРТ</w:t>
      </w:r>
    </w:p>
    <w:p w:rsidR="00F738A3" w:rsidRDefault="00F738A3">
      <w:pPr>
        <w:pStyle w:val="ConsPlusNormal"/>
        <w:jc w:val="center"/>
        <w:rPr>
          <w:b/>
          <w:bCs/>
        </w:rPr>
      </w:pPr>
      <w:r>
        <w:rPr>
          <w:b/>
          <w:bCs/>
        </w:rPr>
        <w:t>ВЫСШЕГО ОБРАЗОВАНИЯ</w:t>
      </w:r>
    </w:p>
    <w:p w:rsidR="00F738A3" w:rsidRDefault="00F738A3">
      <w:pPr>
        <w:pStyle w:val="ConsPlusNormal"/>
        <w:jc w:val="center"/>
        <w:rPr>
          <w:b/>
          <w:bCs/>
        </w:rPr>
      </w:pPr>
    </w:p>
    <w:p w:rsidR="00F738A3" w:rsidRDefault="00F738A3">
      <w:pPr>
        <w:pStyle w:val="ConsPlusNormal"/>
        <w:jc w:val="center"/>
        <w:rPr>
          <w:b/>
          <w:bCs/>
        </w:rPr>
      </w:pPr>
      <w:r>
        <w:rPr>
          <w:b/>
          <w:bCs/>
        </w:rPr>
        <w:t>УРОВЕНЬ ВЫСШЕГО ОБРАЗОВАНИЯ</w:t>
      </w:r>
    </w:p>
    <w:p w:rsidR="00F738A3" w:rsidRDefault="00F738A3">
      <w:pPr>
        <w:pStyle w:val="ConsPlusNormal"/>
        <w:jc w:val="center"/>
        <w:rPr>
          <w:b/>
          <w:bCs/>
        </w:rPr>
      </w:pPr>
      <w:r>
        <w:rPr>
          <w:b/>
          <w:bCs/>
        </w:rPr>
        <w:t>ПОДГОТОВКА КАДРОВ ВЫСШЕЙ КВАЛИФИКАЦИИ</w:t>
      </w:r>
    </w:p>
    <w:p w:rsidR="00F738A3" w:rsidRDefault="00F738A3">
      <w:pPr>
        <w:pStyle w:val="ConsPlusNormal"/>
        <w:jc w:val="center"/>
        <w:rPr>
          <w:b/>
          <w:bCs/>
        </w:rPr>
      </w:pPr>
    </w:p>
    <w:p w:rsidR="00F738A3" w:rsidRDefault="00F738A3">
      <w:pPr>
        <w:pStyle w:val="ConsPlusNormal"/>
        <w:jc w:val="center"/>
        <w:rPr>
          <w:b/>
          <w:bCs/>
        </w:rPr>
      </w:pPr>
      <w:r>
        <w:rPr>
          <w:b/>
          <w:bCs/>
        </w:rPr>
        <w:t>СПЕЦИАЛЬНОСТЬ</w:t>
      </w:r>
    </w:p>
    <w:p w:rsidR="00F738A3" w:rsidRDefault="00F738A3">
      <w:pPr>
        <w:pStyle w:val="ConsPlusNormal"/>
        <w:jc w:val="center"/>
        <w:rPr>
          <w:b/>
          <w:bCs/>
        </w:rPr>
      </w:pPr>
      <w:r>
        <w:rPr>
          <w:b/>
          <w:bCs/>
        </w:rPr>
        <w:t>32.08.14 БАКТЕРИОЛОГИЯ</w:t>
      </w:r>
    </w:p>
    <w:p w:rsidR="00F738A3" w:rsidRDefault="00F738A3">
      <w:pPr>
        <w:pStyle w:val="ConsPlusNormal"/>
        <w:jc w:val="both"/>
      </w:pPr>
    </w:p>
    <w:p w:rsidR="00F738A3" w:rsidRDefault="00F738A3">
      <w:pPr>
        <w:pStyle w:val="ConsPlusNormal"/>
        <w:jc w:val="center"/>
        <w:outlineLvl w:val="1"/>
      </w:pPr>
      <w:r>
        <w:t>I. ОБЛАСТЬ ПРИМЕНЕНИЯ</w:t>
      </w:r>
    </w:p>
    <w:p w:rsidR="00F738A3" w:rsidRDefault="00F738A3">
      <w:pPr>
        <w:pStyle w:val="ConsPlusNormal"/>
        <w:jc w:val="both"/>
      </w:pPr>
    </w:p>
    <w:p w:rsidR="00F738A3" w:rsidRDefault="00F738A3">
      <w:pPr>
        <w:pStyle w:val="ConsPlusNormal"/>
        <w:ind w:firstLine="540"/>
        <w:jc w:val="both"/>
      </w:pPr>
      <w:r>
        <w:lastRenderedPageBreak/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высшей квалификации в ординатуре по специальности 32.08.14 Бактериология (далее соответственно - программа ординатуры, специальность).</w:t>
      </w:r>
    </w:p>
    <w:p w:rsidR="00F738A3" w:rsidRDefault="00F738A3">
      <w:pPr>
        <w:pStyle w:val="ConsPlusNormal"/>
        <w:jc w:val="both"/>
      </w:pPr>
    </w:p>
    <w:p w:rsidR="00F738A3" w:rsidRDefault="00F738A3">
      <w:pPr>
        <w:pStyle w:val="ConsPlusNormal"/>
        <w:jc w:val="center"/>
        <w:outlineLvl w:val="1"/>
      </w:pPr>
      <w:r>
        <w:t>II. ИСПОЛЬЗУЕМЫЕ СОКРАЩЕНИЯ</w:t>
      </w:r>
    </w:p>
    <w:p w:rsidR="00F738A3" w:rsidRDefault="00F738A3">
      <w:pPr>
        <w:pStyle w:val="ConsPlusNormal"/>
        <w:jc w:val="both"/>
      </w:pPr>
    </w:p>
    <w:p w:rsidR="00F738A3" w:rsidRDefault="00F738A3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 УК - универсальные компетенции; ПК - профессиональные компетенции;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F738A3" w:rsidRDefault="00F738A3">
      <w:pPr>
        <w:pStyle w:val="ConsPlusNormal"/>
        <w:jc w:val="both"/>
      </w:pPr>
    </w:p>
    <w:p w:rsidR="00F738A3" w:rsidRDefault="00F738A3">
      <w:pPr>
        <w:pStyle w:val="ConsPlusNormal"/>
        <w:jc w:val="center"/>
        <w:outlineLvl w:val="1"/>
      </w:pPr>
      <w:r>
        <w:t>III. ХАРАКТЕРИСТИКА СПЕЦИАЛЬНОСТИ</w:t>
      </w:r>
    </w:p>
    <w:p w:rsidR="00F738A3" w:rsidRDefault="00F738A3">
      <w:pPr>
        <w:pStyle w:val="ConsPlusNormal"/>
        <w:jc w:val="both"/>
      </w:pPr>
    </w:p>
    <w:p w:rsidR="00F738A3" w:rsidRDefault="00F738A3">
      <w:pPr>
        <w:pStyle w:val="ConsPlusNormal"/>
        <w:ind w:firstLine="540"/>
        <w:jc w:val="both"/>
      </w:pPr>
      <w: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Обучение по программе</w:t>
      </w:r>
      <w:proofErr w:type="gramEnd"/>
      <w:r>
        <w:t xml:space="preserve"> ординатуры в организациях осуществляется в очной форме обучения.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Объем программы ординатуры составляет 120 зачетных единиц (далее - з.е.),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3.3. Срок получения образования по программе ординатуры: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з.е.;</w:t>
      </w:r>
    </w:p>
    <w:p w:rsidR="00F738A3" w:rsidRDefault="00F738A3">
      <w:pPr>
        <w:pStyle w:val="ConsPlusNormal"/>
        <w:spacing w:before="220"/>
        <w:ind w:firstLine="540"/>
        <w:jc w:val="both"/>
      </w:pPr>
      <w:proofErr w:type="gramStart"/>
      <w: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>
        <w:t xml:space="preserve"> Объем программы ординатуры за один учебный год при </w:t>
      </w:r>
      <w:proofErr w:type="gramStart"/>
      <w:r>
        <w:t>обучении</w:t>
      </w:r>
      <w:proofErr w:type="gramEnd"/>
      <w:r>
        <w:t xml:space="preserve"> по индивидуальному учебному плану не может составлять более 75 з.е.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>
        <w:t>N 30304), а также государственной итоговой аттестации.</w:t>
      </w:r>
      <w:proofErr w:type="gramEnd"/>
    </w:p>
    <w:p w:rsidR="00F738A3" w:rsidRDefault="00F738A3">
      <w:pPr>
        <w:pStyle w:val="ConsPlusNormal"/>
        <w:spacing w:before="22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lastRenderedPageBreak/>
        <w:t>3.5. Реализация программы ординатуры возможна с использованием сетевой формы.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F738A3" w:rsidRDefault="00F738A3">
      <w:pPr>
        <w:pStyle w:val="ConsPlusNormal"/>
        <w:jc w:val="both"/>
      </w:pPr>
    </w:p>
    <w:p w:rsidR="00F738A3" w:rsidRDefault="00F738A3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F738A3" w:rsidRDefault="00F738A3">
      <w:pPr>
        <w:pStyle w:val="ConsPlusNormal"/>
        <w:jc w:val="center"/>
      </w:pPr>
      <w:r>
        <w:t>ВЫПУСКНИКОВ, ОСВОИВШИХ ПРОГРАММУ ОРДИНАТУРЫ</w:t>
      </w:r>
    </w:p>
    <w:p w:rsidR="00F738A3" w:rsidRDefault="00F738A3">
      <w:pPr>
        <w:pStyle w:val="ConsPlusNormal"/>
        <w:jc w:val="both"/>
      </w:pPr>
    </w:p>
    <w:p w:rsidR="00F738A3" w:rsidRDefault="00F738A3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ординатуры, включает охрану здоровья граждан в части обеспечения мер санитарно-эпидемиологического (профилактического) характера, направленных на санитарно-эпидемиологическое благополучие населения.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выпускников, освоивших программу ординатуры, являются: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физические лица (далее - человек);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среда обитания человека;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юридические лица, индивидуальные предприниматели;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совокупность средств и технологий, направленных на обеспечение санитарно-эпидемиологического благополучия населения, сохранение и улучшение его здоровья.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ординатуры: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производственно-технологическая деятельность;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психолого-педагогическая;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деятельность.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Программа ординатуры включает в себя все виды профессиональной деятельности, к которым готовится ординатор.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4.4. Выпускник, освоивший программу ординатуры, готов решать следующие профессиональные задачи: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производственно-технологическая деятельность: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осуществление бактериологических лабораторных исследований, предусмотренных для обеспечения требований санитарно-эпидемиологического благополучия населения;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проведение санитарно-противоэпидемических (профилактических) мероприятий, направленных на предупреждение возникновения инфекционных заболеваний и массовых неинфекционных заболеваний (отравлений);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проведение сбора и медико-статистического анализа информации о состоянии санитарно-эпидемиологической обстановки;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оценка состояния здоровья населения;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оценка состояния среды обитания человека;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lastRenderedPageBreak/>
        <w:t>проведение диагностических исследований различных групп населения, предусмотренных законодательством в сфере санитарно-эпидемиологического благополучия для обеспечения безопасной среды обитания человека;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психолого-педагогическая деятельность: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гигиеническое воспитание и пропаганда здорового образа жизни;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организация санитарно-противоэпидемических (профилактических) мероприятий, в том числе в условиях чрезвычайных ситуаций;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организация труда персонала в организациях и их структурных подразделениях, осуществляющих свою деятельность в целях обеспечения санитарно-эпидемиологического благополучия населения с учетом требований техники безопасности и охраны труда;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ведение документации, предусмотренной для обеспечения санитарно-эпидемиологического благополучия населения;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соблюдение основных требований информационной безопасности.</w:t>
      </w:r>
    </w:p>
    <w:p w:rsidR="00F738A3" w:rsidRDefault="00F738A3">
      <w:pPr>
        <w:pStyle w:val="ConsPlusNormal"/>
        <w:jc w:val="both"/>
      </w:pPr>
    </w:p>
    <w:p w:rsidR="00F738A3" w:rsidRDefault="00F738A3">
      <w:pPr>
        <w:pStyle w:val="ConsPlusNormal"/>
        <w:jc w:val="center"/>
        <w:outlineLvl w:val="1"/>
      </w:pPr>
      <w:r>
        <w:t>V. ТРЕБОВАНИЯ К РЕЗУЛЬТАТАМ ОСВОЕНИЯ ПРОГРАММЫ ОРДИНАТУРЫ</w:t>
      </w:r>
    </w:p>
    <w:p w:rsidR="00F738A3" w:rsidRDefault="00F738A3">
      <w:pPr>
        <w:pStyle w:val="ConsPlusNormal"/>
        <w:jc w:val="both"/>
      </w:pPr>
    </w:p>
    <w:p w:rsidR="00F738A3" w:rsidRDefault="00F738A3">
      <w:pPr>
        <w:pStyle w:val="ConsPlusNormal"/>
        <w:ind w:firstLine="540"/>
        <w:jc w:val="both"/>
      </w:pPr>
      <w: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5.2. Выпускник, освоивший программу ординатуры, должен обладать следующими универсальными компетенциями: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готовностью к абстрактному мышлению, анализу, синтезу (УК-1);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F738A3" w:rsidRDefault="00F738A3">
      <w:pPr>
        <w:pStyle w:val="ConsPlusNormal"/>
        <w:spacing w:before="220"/>
        <w:ind w:firstLine="540"/>
        <w:jc w:val="both"/>
      </w:pPr>
      <w:proofErr w:type="gramStart"/>
      <w: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F738A3" w:rsidRDefault="00F738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38A3" w:rsidRDefault="00F738A3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Части 13</w:t>
        </w:r>
      </w:hyperlink>
      <w:r>
        <w:t xml:space="preserve"> и </w:t>
      </w:r>
      <w:hyperlink r:id="rId9" w:history="1">
        <w:r>
          <w:rPr>
            <w:color w:val="0000FF"/>
          </w:rPr>
          <w:t>14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566; N 19, ст. 2289; N 22, ст. 2769; N 23, ст. 2930, ст. 2933; N 26, ст. 3388; N 30, ст. 4263).</w:t>
      </w:r>
      <w:proofErr w:type="gramEnd"/>
    </w:p>
    <w:p w:rsidR="00F738A3" w:rsidRDefault="00F738A3">
      <w:pPr>
        <w:pStyle w:val="ConsPlusNormal"/>
        <w:jc w:val="both"/>
      </w:pPr>
    </w:p>
    <w:p w:rsidR="00F738A3" w:rsidRDefault="00F738A3">
      <w:pPr>
        <w:pStyle w:val="ConsPlusNormal"/>
        <w:ind w:firstLine="540"/>
        <w:jc w:val="both"/>
      </w:pPr>
      <w:r>
        <w:t>5.3. Выпускник, освоивший программу ординатуры, должен обладать профессиональными компетенциями: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производственно-технологическая деятельность: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 xml:space="preserve">готовность к осуществлению комплекса санитарно-противоэпидемических </w:t>
      </w:r>
      <w:r>
        <w:lastRenderedPageBreak/>
        <w:t>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 (ПК-1);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готовность к проведению бактериологических лабораторных исследований и интерпретации их результатов (ПК-2);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готовность к применению специализированного оборудования, предусмотренного для использования в профессиональной сфере (ПК-3);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психолого-педагогическая деятельность: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готовность к обучению населения основным гигиеническим мероприятиям оздоровительного характера, способствующим сохранению и укреплению здоровья, профилактике заболеваний (ПК-4);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готовность к санитарно-просветительской деятельности среди различных групп населения с целью устранения факторов риска и формирования навыков здорового образа жизни, направленных на сохранение и укрепление здоровья (ПК-5);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готовность к использованию основ экономических и правовых знаний в профессиональной деятельности (ПК-6);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готовность к применению основных принципов управления в профессиональной сфере (ПК-7);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 (ПК-8).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 xml:space="preserve">5.6. При разработке программы ординатуры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требовании соответствующих примерных основных образовательных программ.</w:t>
      </w:r>
    </w:p>
    <w:p w:rsidR="00F738A3" w:rsidRDefault="00F738A3">
      <w:pPr>
        <w:pStyle w:val="ConsPlusNormal"/>
        <w:jc w:val="both"/>
      </w:pPr>
    </w:p>
    <w:p w:rsidR="00F738A3" w:rsidRDefault="00F738A3">
      <w:pPr>
        <w:pStyle w:val="ConsPlusNormal"/>
        <w:jc w:val="center"/>
        <w:outlineLvl w:val="1"/>
      </w:pPr>
      <w:r>
        <w:t>VI. ТРЕБОВАНИЯ К СТРУКТУРЕ ПРОГРАММЫ ОРДИНАТУРЫ</w:t>
      </w:r>
    </w:p>
    <w:p w:rsidR="00F738A3" w:rsidRDefault="00F738A3">
      <w:pPr>
        <w:pStyle w:val="ConsPlusNormal"/>
        <w:jc w:val="both"/>
      </w:pPr>
    </w:p>
    <w:p w:rsidR="00F738A3" w:rsidRDefault="00F738A3">
      <w:pPr>
        <w:pStyle w:val="ConsPlusNormal"/>
        <w:ind w:firstLine="540"/>
        <w:jc w:val="both"/>
      </w:pPr>
      <w: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6.2. Программа ординатуры состоит из следующих блоков:</w:t>
      </w:r>
    </w:p>
    <w:p w:rsidR="00F738A3" w:rsidRDefault="00F738A3">
      <w:pPr>
        <w:pStyle w:val="ConsPlusNormal"/>
        <w:spacing w:before="220"/>
        <w:ind w:firstLine="540"/>
        <w:jc w:val="both"/>
      </w:pPr>
      <w:hyperlink w:anchor="Par133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F738A3" w:rsidRDefault="00F738A3">
      <w:pPr>
        <w:pStyle w:val="ConsPlusNormal"/>
        <w:spacing w:before="220"/>
        <w:ind w:firstLine="540"/>
        <w:jc w:val="both"/>
      </w:pPr>
      <w:hyperlink w:anchor="Par141" w:history="1">
        <w:r>
          <w:rPr>
            <w:color w:val="0000FF"/>
          </w:rPr>
          <w:t>Блок 2</w:t>
        </w:r>
      </w:hyperlink>
      <w:r>
        <w:t xml:space="preserve"> "Практики", относящийся как к базовой части программы, так и к ее вариативной части.</w:t>
      </w:r>
    </w:p>
    <w:p w:rsidR="00F738A3" w:rsidRDefault="00F738A3">
      <w:pPr>
        <w:pStyle w:val="ConsPlusNormal"/>
        <w:spacing w:before="220"/>
        <w:ind w:firstLine="540"/>
        <w:jc w:val="both"/>
      </w:pPr>
      <w:hyperlink w:anchor="Par14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</w:t>
      </w:r>
      <w:r>
        <w:lastRenderedPageBreak/>
        <w:t>базовой части программы и завершается присвоением квалификации "Врач-бактериолог".</w:t>
      </w:r>
    </w:p>
    <w:p w:rsidR="00F738A3" w:rsidRDefault="00F738A3">
      <w:pPr>
        <w:pStyle w:val="ConsPlusNormal"/>
        <w:jc w:val="both"/>
      </w:pPr>
    </w:p>
    <w:p w:rsidR="00F738A3" w:rsidRDefault="00F738A3">
      <w:pPr>
        <w:pStyle w:val="ConsPlusNormal"/>
        <w:jc w:val="center"/>
        <w:outlineLvl w:val="2"/>
      </w:pPr>
      <w:r>
        <w:t>Структура программы ординатуры</w:t>
      </w:r>
    </w:p>
    <w:p w:rsidR="00F738A3" w:rsidRDefault="00F738A3">
      <w:pPr>
        <w:pStyle w:val="ConsPlusNormal"/>
        <w:jc w:val="both"/>
      </w:pPr>
    </w:p>
    <w:p w:rsidR="00F738A3" w:rsidRDefault="00F738A3">
      <w:pPr>
        <w:pStyle w:val="ConsPlusNormal"/>
        <w:jc w:val="right"/>
      </w:pPr>
      <w:r>
        <w:t>Таблица</w:t>
      </w:r>
    </w:p>
    <w:p w:rsidR="00F738A3" w:rsidRDefault="00F738A3">
      <w:pPr>
        <w:pStyle w:val="ConsPlusNormal"/>
        <w:jc w:val="both"/>
      </w:pPr>
    </w:p>
    <w:p w:rsidR="00F738A3" w:rsidRDefault="00F738A3">
      <w:pPr>
        <w:pStyle w:val="ConsPlusNormal"/>
        <w:sectPr w:rsidR="00F738A3" w:rsidSect="00A44E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0"/>
        <w:gridCol w:w="5452"/>
        <w:gridCol w:w="2641"/>
      </w:tblGrid>
      <w:tr w:rsidR="00F738A3">
        <w:tc>
          <w:tcPr>
            <w:tcW w:w="6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A3" w:rsidRDefault="00F738A3">
            <w:pPr>
              <w:pStyle w:val="ConsPlusNormal"/>
              <w:jc w:val="center"/>
            </w:pPr>
            <w:r>
              <w:lastRenderedPageBreak/>
              <w:t>Структура программы ординатуры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A3" w:rsidRDefault="00F738A3">
            <w:pPr>
              <w:pStyle w:val="ConsPlusNormal"/>
              <w:jc w:val="center"/>
            </w:pPr>
            <w:r>
              <w:t>Объем программы ординатуры в з.е.</w:t>
            </w:r>
          </w:p>
        </w:tc>
      </w:tr>
      <w:tr w:rsidR="00F738A3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A3" w:rsidRDefault="00F738A3">
            <w:pPr>
              <w:pStyle w:val="ConsPlusNormal"/>
            </w:pPr>
            <w:bookmarkStart w:id="2" w:name="Par133"/>
            <w:bookmarkEnd w:id="2"/>
            <w:r>
              <w:t>Блок 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A3" w:rsidRDefault="00F738A3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A3" w:rsidRDefault="00F738A3">
            <w:pPr>
              <w:pStyle w:val="ConsPlusNormal"/>
              <w:jc w:val="center"/>
            </w:pPr>
            <w:r>
              <w:t>42 - 48</w:t>
            </w:r>
          </w:p>
        </w:tc>
      </w:tr>
      <w:tr w:rsidR="00F738A3"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A3" w:rsidRDefault="00F738A3">
            <w:pPr>
              <w:pStyle w:val="ConsPlusNormal"/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A3" w:rsidRDefault="00F738A3">
            <w:pPr>
              <w:pStyle w:val="ConsPlusNormal"/>
            </w:pPr>
            <w:bookmarkStart w:id="3" w:name="Par137"/>
            <w:bookmarkEnd w:id="3"/>
            <w:r>
              <w:t>Базовая часть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A3" w:rsidRDefault="00F738A3">
            <w:pPr>
              <w:pStyle w:val="ConsPlusNormal"/>
              <w:jc w:val="center"/>
            </w:pPr>
            <w:r>
              <w:t>33 - 39</w:t>
            </w:r>
          </w:p>
        </w:tc>
      </w:tr>
      <w:tr w:rsidR="00F738A3"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A3" w:rsidRDefault="00F738A3">
            <w:pPr>
              <w:pStyle w:val="ConsPlusNormal"/>
              <w:jc w:val="center"/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A3" w:rsidRDefault="00F738A3">
            <w:pPr>
              <w:pStyle w:val="ConsPlusNormal"/>
            </w:pPr>
            <w:bookmarkStart w:id="4" w:name="Par139"/>
            <w:bookmarkEnd w:id="4"/>
            <w:r>
              <w:t>Вариативная часть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A3" w:rsidRDefault="00F738A3">
            <w:pPr>
              <w:pStyle w:val="ConsPlusNormal"/>
              <w:jc w:val="center"/>
            </w:pPr>
            <w:r>
              <w:t>6 - 12</w:t>
            </w:r>
          </w:p>
        </w:tc>
      </w:tr>
      <w:tr w:rsidR="00F738A3"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A3" w:rsidRDefault="00F738A3">
            <w:pPr>
              <w:pStyle w:val="ConsPlusNormal"/>
            </w:pPr>
            <w:bookmarkStart w:id="5" w:name="Par141"/>
            <w:bookmarkEnd w:id="5"/>
            <w:r>
              <w:t>Блок 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A3" w:rsidRDefault="00F738A3">
            <w:pPr>
              <w:pStyle w:val="ConsPlusNormal"/>
            </w:pPr>
            <w:r>
              <w:t>Практики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A3" w:rsidRDefault="00F738A3">
            <w:pPr>
              <w:pStyle w:val="ConsPlusNormal"/>
              <w:jc w:val="center"/>
            </w:pPr>
            <w:r>
              <w:t>69 - 75</w:t>
            </w:r>
          </w:p>
        </w:tc>
      </w:tr>
      <w:tr w:rsidR="00F738A3"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A3" w:rsidRDefault="00F738A3">
            <w:pPr>
              <w:pStyle w:val="ConsPlusNormal"/>
              <w:jc w:val="center"/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A3" w:rsidRDefault="00F738A3">
            <w:pPr>
              <w:pStyle w:val="ConsPlusNormal"/>
            </w:pPr>
            <w:r>
              <w:t>Базовая часть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A3" w:rsidRDefault="00F738A3">
            <w:pPr>
              <w:pStyle w:val="ConsPlusNormal"/>
              <w:jc w:val="center"/>
            </w:pPr>
            <w:r>
              <w:t>60 - 66</w:t>
            </w:r>
          </w:p>
        </w:tc>
      </w:tr>
      <w:tr w:rsidR="00F738A3"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A3" w:rsidRDefault="00F738A3">
            <w:pPr>
              <w:pStyle w:val="ConsPlusNormal"/>
              <w:jc w:val="center"/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A3" w:rsidRDefault="00F738A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A3" w:rsidRDefault="00F738A3">
            <w:pPr>
              <w:pStyle w:val="ConsPlusNormal"/>
              <w:jc w:val="center"/>
            </w:pPr>
            <w:r>
              <w:t>6 - 12</w:t>
            </w:r>
          </w:p>
        </w:tc>
      </w:tr>
      <w:tr w:rsidR="00F738A3"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A3" w:rsidRDefault="00F738A3">
            <w:pPr>
              <w:pStyle w:val="ConsPlusNormal"/>
            </w:pPr>
            <w:bookmarkStart w:id="6" w:name="Par148"/>
            <w:bookmarkEnd w:id="6"/>
            <w:r>
              <w:t>Блок 3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A3" w:rsidRDefault="00F738A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A3" w:rsidRDefault="00F738A3">
            <w:pPr>
              <w:pStyle w:val="ConsPlusNormal"/>
              <w:jc w:val="center"/>
            </w:pPr>
            <w:r>
              <w:t>3</w:t>
            </w:r>
          </w:p>
        </w:tc>
      </w:tr>
      <w:tr w:rsidR="00F738A3"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A3" w:rsidRDefault="00F738A3">
            <w:pPr>
              <w:pStyle w:val="ConsPlusNormal"/>
              <w:jc w:val="center"/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A3" w:rsidRDefault="00F738A3">
            <w:pPr>
              <w:pStyle w:val="ConsPlusNormal"/>
            </w:pPr>
            <w:r>
              <w:t>Базовая часть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A3" w:rsidRDefault="00F738A3">
            <w:pPr>
              <w:pStyle w:val="ConsPlusNormal"/>
              <w:jc w:val="center"/>
            </w:pPr>
            <w:r>
              <w:t>3</w:t>
            </w:r>
          </w:p>
        </w:tc>
      </w:tr>
      <w:tr w:rsidR="00F738A3">
        <w:tc>
          <w:tcPr>
            <w:tcW w:w="6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A3" w:rsidRDefault="00F738A3">
            <w:pPr>
              <w:pStyle w:val="ConsPlusNormal"/>
            </w:pPr>
            <w:r>
              <w:t>Объем программы ординатуры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A3" w:rsidRDefault="00F738A3">
            <w:pPr>
              <w:pStyle w:val="ConsPlusNormal"/>
              <w:jc w:val="center"/>
            </w:pPr>
            <w:r>
              <w:t>120</w:t>
            </w:r>
          </w:p>
        </w:tc>
      </w:tr>
    </w:tbl>
    <w:p w:rsidR="00F738A3" w:rsidRDefault="00F738A3">
      <w:pPr>
        <w:pStyle w:val="ConsPlusNormal"/>
        <w:sectPr w:rsidR="00F738A3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F738A3" w:rsidRDefault="00F738A3">
      <w:pPr>
        <w:pStyle w:val="ConsPlusNormal"/>
        <w:jc w:val="both"/>
      </w:pPr>
    </w:p>
    <w:p w:rsidR="00F738A3" w:rsidRDefault="00F738A3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F738A3" w:rsidRDefault="00F738A3">
      <w:pPr>
        <w:pStyle w:val="ConsPlusNormal"/>
        <w:spacing w:before="220"/>
        <w:ind w:firstLine="540"/>
        <w:jc w:val="both"/>
      </w:pPr>
      <w:r>
        <w:t xml:space="preserve">6.4. Дисциплины (модули) по общественному здоровью и здравоохранению, педагогике, гигиене и эпидемиологии чрезвычайных ситуаций, микробиологии реализуются в рамках </w:t>
      </w:r>
      <w:hyperlink w:anchor="Par137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F738A3" w:rsidRDefault="00F738A3">
      <w:pPr>
        <w:pStyle w:val="ConsPlusNormal"/>
        <w:jc w:val="both"/>
      </w:pPr>
    </w:p>
    <w:p w:rsidR="00F738A3" w:rsidRDefault="00F738A3">
      <w:pPr>
        <w:pStyle w:val="ConsPlusNormal"/>
        <w:ind w:firstLine="540"/>
        <w:jc w:val="both"/>
      </w:pPr>
      <w: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F738A3" w:rsidRDefault="00F738A3">
      <w:pPr>
        <w:pStyle w:val="ConsPlusNormal"/>
        <w:spacing w:before="220"/>
        <w:ind w:firstLine="540"/>
        <w:jc w:val="both"/>
      </w:pPr>
      <w:proofErr w:type="gramStart"/>
      <w: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F738A3" w:rsidRDefault="00F738A3">
      <w:pPr>
        <w:pStyle w:val="ConsPlusNormal"/>
        <w:spacing w:before="220"/>
        <w:ind w:firstLine="540"/>
        <w:jc w:val="both"/>
      </w:pPr>
      <w:r>
        <w:t xml:space="preserve">6.6. В </w:t>
      </w:r>
      <w:hyperlink w:anchor="Par141" w:history="1">
        <w:r>
          <w:rPr>
            <w:color w:val="0000FF"/>
          </w:rPr>
          <w:t>Блок 2</w:t>
        </w:r>
      </w:hyperlink>
      <w:r>
        <w:t xml:space="preserve"> "Практики" входит производственная (клиническая) практика.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Способы проведения производственной (клинической) практики: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стационарная;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выездная.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Практики могут проводиться в структурных подразделениях организации.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 xml:space="preserve">6.7. В </w:t>
      </w:r>
      <w:hyperlink w:anchor="Par14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 xml:space="preserve">6.8. При разработке программы ординатуры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</w:t>
      </w:r>
      <w:hyperlink w:anchor="Par139" w:history="1">
        <w:r>
          <w:rPr>
            <w:color w:val="0000FF"/>
          </w:rPr>
          <w:t>вариативной части</w:t>
        </w:r>
      </w:hyperlink>
      <w:r>
        <w:t xml:space="preserve"> Блока 1 "Дисциплины (модули)".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 xml:space="preserve">6.9. Количество часов, отведенных на занятия лекционного типа в целом по </w:t>
      </w:r>
      <w:hyperlink w:anchor="Par133" w:history="1">
        <w:r>
          <w:rPr>
            <w:color w:val="0000FF"/>
          </w:rPr>
          <w:t>Блоку 1</w:t>
        </w:r>
      </w:hyperlink>
      <w:r>
        <w:t xml:space="preserve"> "Дисциплины (модули)",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F738A3" w:rsidRDefault="00F738A3">
      <w:pPr>
        <w:pStyle w:val="ConsPlusNormal"/>
        <w:jc w:val="both"/>
      </w:pPr>
    </w:p>
    <w:p w:rsidR="00F738A3" w:rsidRDefault="00F738A3">
      <w:pPr>
        <w:pStyle w:val="ConsPlusNormal"/>
        <w:jc w:val="center"/>
        <w:outlineLvl w:val="1"/>
      </w:pPr>
      <w:r>
        <w:t>VII. ТРЕБОВАНИЯ К УСЛОВИЯМ РЕАЛИЗАЦИИ ПРОГРАММЫ ОРДИНАТУРЫ</w:t>
      </w:r>
    </w:p>
    <w:p w:rsidR="00F738A3" w:rsidRDefault="00F738A3">
      <w:pPr>
        <w:pStyle w:val="ConsPlusNormal"/>
        <w:jc w:val="both"/>
      </w:pPr>
    </w:p>
    <w:p w:rsidR="00F738A3" w:rsidRDefault="00F738A3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ординатуры.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lastRenderedPageBreak/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F738A3" w:rsidRDefault="00F738A3">
      <w:pPr>
        <w:pStyle w:val="ConsPlusNormal"/>
        <w:spacing w:before="22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F738A3" w:rsidRDefault="00F738A3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F738A3" w:rsidRDefault="00F738A3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11,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F738A3" w:rsidRDefault="00F738A3">
      <w:pPr>
        <w:pStyle w:val="ConsPlusNormal"/>
        <w:jc w:val="both"/>
      </w:pPr>
    </w:p>
    <w:p w:rsidR="00F738A3" w:rsidRDefault="00F738A3">
      <w:pPr>
        <w:pStyle w:val="ConsPlusNormal"/>
        <w:ind w:firstLine="540"/>
        <w:jc w:val="both"/>
      </w:pPr>
      <w: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lastRenderedPageBreak/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требованиями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738A3" w:rsidRDefault="00F738A3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(зарегистрирован Министерством юстиции Российской Федерации 18 апреля 2012 г., регистрационный N 23879).</w:t>
      </w:r>
    </w:p>
    <w:p w:rsidR="00F738A3" w:rsidRDefault="00F738A3">
      <w:pPr>
        <w:pStyle w:val="ConsPlusNormal"/>
        <w:jc w:val="both"/>
      </w:pPr>
    </w:p>
    <w:p w:rsidR="00F738A3" w:rsidRDefault="00F738A3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F738A3" w:rsidRDefault="00F738A3">
      <w:pPr>
        <w:pStyle w:val="ConsPlusNormal"/>
        <w:jc w:val="both"/>
      </w:pPr>
    </w:p>
    <w:p w:rsidR="00F738A3" w:rsidRDefault="00F738A3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 ординатуры.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F738A3" w:rsidRDefault="00F738A3">
      <w:pPr>
        <w:pStyle w:val="ConsPlusNormal"/>
        <w:spacing w:before="220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F738A3" w:rsidRDefault="00F738A3">
      <w:pPr>
        <w:pStyle w:val="ConsPlusNormal"/>
        <w:spacing w:before="220"/>
        <w:ind w:firstLine="540"/>
        <w:jc w:val="both"/>
      </w:pPr>
      <w:r>
        <w:t xml:space="preserve">7.2.4. </w:t>
      </w:r>
      <w:proofErr w:type="gramStart"/>
      <w: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</w:t>
      </w:r>
      <w:r>
        <w:lastRenderedPageBreak/>
        <w:t>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F738A3" w:rsidRDefault="00F738A3">
      <w:pPr>
        <w:pStyle w:val="ConsPlusNormal"/>
        <w:jc w:val="both"/>
      </w:pPr>
    </w:p>
    <w:p w:rsidR="00F738A3" w:rsidRDefault="00F738A3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ординатуры.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 xml:space="preserve">аудитории, оборудованные мультимедийными и иными средствами обучения, позволяющими использовать симуляционные технологии, с типовыми наборами профессиональных моделей результатов лабораторных и инструментальных исследований в количестве, позволяющем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деятельностью, индивидуально;</w:t>
      </w:r>
    </w:p>
    <w:p w:rsidR="00F738A3" w:rsidRDefault="00F738A3">
      <w:pPr>
        <w:pStyle w:val="ConsPlusNormal"/>
        <w:spacing w:before="220"/>
        <w:ind w:firstLine="540"/>
        <w:jc w:val="both"/>
      </w:pPr>
      <w:proofErr w:type="gramStart"/>
      <w:r>
        <w:t>лаборатории, оснащенные специализированным оборудованием (микроскоп, термостат, автоклав, набор химической посуды, массоизмерительное оборудование, гомогенизатор, центрифуга, сушильный шкаф, ареометр, бокс-штатив, груша резиновая, деионизатор, диспенсор, дистиллятор, дозатор с наконечниками, колориметр, pH-метр, ламинарный бокс, мерная пипетка, морозильник, пипетка Пастеровская, планшет для микротитрования, питательные среды, необходимые для культивирования микроорганизмов, принадлежность для забора биоматериала и смывов с поверхности, пробоотборник, спектрофотометр, титратор, фотоэлектроколориметр, холодильник, чашка Петри, шейкер</w:t>
      </w:r>
      <w:proofErr w:type="gramEnd"/>
      <w:r>
        <w:t>, шпатель и петля микробиологические)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 xml:space="preserve"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</w:t>
      </w:r>
      <w:r>
        <w:lastRenderedPageBreak/>
        <w:t>состав которых определяется в рабочих программах дисциплин (модулей) и подлежит ежегодному обновлению.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738A3" w:rsidRDefault="00F738A3">
      <w:pPr>
        <w:pStyle w:val="ConsPlusNormal"/>
        <w:jc w:val="both"/>
      </w:pPr>
    </w:p>
    <w:p w:rsidR="00F738A3" w:rsidRDefault="00F738A3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ординатуры.</w:t>
      </w:r>
    </w:p>
    <w:p w:rsidR="00F738A3" w:rsidRDefault="00F738A3">
      <w:pPr>
        <w:pStyle w:val="ConsPlusNormal"/>
        <w:spacing w:before="220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F738A3" w:rsidRDefault="00F738A3">
      <w:pPr>
        <w:pStyle w:val="ConsPlusNormal"/>
        <w:jc w:val="both"/>
      </w:pPr>
    </w:p>
    <w:p w:rsidR="00F738A3" w:rsidRDefault="00F738A3">
      <w:pPr>
        <w:pStyle w:val="ConsPlusNormal"/>
        <w:jc w:val="both"/>
      </w:pPr>
    </w:p>
    <w:p w:rsidR="00F738A3" w:rsidRDefault="00F738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3BF" w:rsidRDefault="002763BF"/>
    <w:sectPr w:rsidR="002763B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A3"/>
    <w:rsid w:val="002763BF"/>
    <w:rsid w:val="00F7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8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8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6867096A66E8A67BAE6B94653324B4ECE34CEB2A4885F3B86E46637734D931E3076C6267D03CC93173EB75F290D6E9F8FD98AC806004CCREX3J" TargetMode="External"/><Relationship Id="rId13" Type="http://schemas.openxmlformats.org/officeDocument/2006/relationships/hyperlink" Target="consultantplus://offline/ref=AB6867096A66E8A67BAE6B94653324B4ECE34CEF204985F3B86E46637734D931E3076C6267D13CC13873EB75F290D6E9F8FD98AC806004CCREX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6867096A66E8A67BAE6B94653324B4E9E248EA2F4E85F3B86E46637734D931E3076C6267D13CC03173EB75F290D6E9F8FD98AC806004CCREX3J" TargetMode="External"/><Relationship Id="rId12" Type="http://schemas.openxmlformats.org/officeDocument/2006/relationships/hyperlink" Target="consultantplus://offline/ref=AB6867096A66E8A67BAE6B94653324B4ECE54EE32F4D85F3B86E46637734D931F107346E67D322C03D66BD24B4RCX6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6867096A66E8A67BAE6B94653324B4EAEF4BED294085F3B86E46637734D931E3076C6267D13CC43A73EB75F290D6E9F8FD98AC806004CCREX3J" TargetMode="External"/><Relationship Id="rId11" Type="http://schemas.openxmlformats.org/officeDocument/2006/relationships/hyperlink" Target="consultantplus://offline/ref=AB6867096A66E8A67BAE6B94653324B4ECE44AE3284085F3B86E46637734D931F107346E67D322C03D66BD24B4RCX6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B6867096A66E8A67BAE6B94653324B4E9E24EEA284885F3B86E46637734D931E3076C6267D13CC13A73EB75F290D6E9F8FD98AC806004CCREX3J" TargetMode="External"/><Relationship Id="rId10" Type="http://schemas.openxmlformats.org/officeDocument/2006/relationships/hyperlink" Target="consultantplus://offline/ref=AB6867096A66E8A67BAE6B94653324B4EBE344EE2B4F85F3B86E46637734D931F107346E67D322C03D66BD24B4RCX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6867096A66E8A67BAE6B94653324B4ECE34CEB2A4885F3B86E46637734D931E3076C6267D03DC03873EB75F290D6E9F8FD98AC806004CCREX3J" TargetMode="External"/><Relationship Id="rId14" Type="http://schemas.openxmlformats.org/officeDocument/2006/relationships/hyperlink" Target="consultantplus://offline/ref=AB6867096A66E8A67BAE6B94653324B4E9E544EC2D4C85F3B86E46637734D931F107346E67D322C03D66BD24B4RCX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4153</Words>
  <Characters>23675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Menedg</dc:creator>
  <cp:lastModifiedBy>Menedg</cp:lastModifiedBy>
  <cp:revision>1</cp:revision>
  <dcterms:created xsi:type="dcterms:W3CDTF">2023-05-02T09:23:00Z</dcterms:created>
  <dcterms:modified xsi:type="dcterms:W3CDTF">2023-05-02T09:23:00Z</dcterms:modified>
</cp:coreProperties>
</file>