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22" w:rsidRPr="002A33D8" w:rsidRDefault="00C96422" w:rsidP="00C964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A33D8">
        <w:rPr>
          <w:rFonts w:ascii="Times New Roman" w:hAnsi="Times New Roman"/>
          <w:b/>
          <w:iCs/>
          <w:sz w:val="24"/>
          <w:szCs w:val="24"/>
        </w:rPr>
        <w:t>Министерство здравоохранения Российской Федерации</w:t>
      </w:r>
    </w:p>
    <w:p w:rsidR="00C96422" w:rsidRPr="002A33D8" w:rsidRDefault="00C96422" w:rsidP="00C964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A33D8">
        <w:rPr>
          <w:rFonts w:ascii="Times New Roman" w:hAnsi="Times New Roman"/>
          <w:b/>
          <w:iCs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A33D8">
        <w:rPr>
          <w:rFonts w:ascii="Times New Roman" w:hAnsi="Times New Roman"/>
          <w:b/>
          <w:iCs/>
          <w:sz w:val="24"/>
          <w:szCs w:val="24"/>
        </w:rPr>
        <w:t>ОВАНИЯ</w:t>
      </w:r>
    </w:p>
    <w:p w:rsidR="00C96422" w:rsidRPr="002A33D8" w:rsidRDefault="00C96422" w:rsidP="00C964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A33D8">
        <w:rPr>
          <w:rFonts w:ascii="Times New Roman" w:hAnsi="Times New Roman"/>
          <w:b/>
          <w:iCs/>
          <w:sz w:val="24"/>
          <w:szCs w:val="24"/>
        </w:rPr>
        <w:t>«РОССИЙСКАЯ МЕДИЦИНСКАЯ АКАДЕМИЯ НЕПРЕРЫВНОГО ПРОФЕССИОНАЛЬНОГО ОБРАЗОВАНИЯ»</w:t>
      </w:r>
    </w:p>
    <w:p w:rsidR="00C96422" w:rsidRPr="002A33D8" w:rsidRDefault="00C96422" w:rsidP="00C96422">
      <w:pPr>
        <w:tabs>
          <w:tab w:val="left" w:pos="2484"/>
        </w:tabs>
        <w:jc w:val="center"/>
      </w:pPr>
    </w:p>
    <w:p w:rsidR="00C96422" w:rsidRPr="002A33D8" w:rsidRDefault="00C96422" w:rsidP="00C96422">
      <w:pPr>
        <w:pStyle w:val="a3"/>
        <w:tabs>
          <w:tab w:val="left" w:pos="4320"/>
        </w:tabs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33D8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 (МОДУЛЯ)</w:t>
      </w:r>
    </w:p>
    <w:p w:rsidR="00C96422" w:rsidRPr="002A33D8" w:rsidRDefault="00C96422" w:rsidP="00C964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A33D8">
        <w:rPr>
          <w:rFonts w:ascii="Times New Roman" w:hAnsi="Times New Roman"/>
          <w:b/>
          <w:bCs/>
          <w:caps/>
          <w:sz w:val="24"/>
          <w:szCs w:val="24"/>
        </w:rPr>
        <w:t>педагогика</w:t>
      </w:r>
    </w:p>
    <w:p w:rsidR="00C96422" w:rsidRPr="002A33D8" w:rsidRDefault="00C96422" w:rsidP="00C96422">
      <w:pPr>
        <w:pStyle w:val="a3"/>
        <w:tabs>
          <w:tab w:val="left" w:pos="43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33D8">
        <w:rPr>
          <w:rFonts w:ascii="Times New Roman" w:hAnsi="Times New Roman"/>
          <w:b/>
          <w:sz w:val="24"/>
          <w:szCs w:val="24"/>
        </w:rPr>
        <w:t>Блок 1. Базовая часть (Б</w:t>
      </w:r>
      <w:proofErr w:type="gramStart"/>
      <w:r w:rsidRPr="002A33D8">
        <w:rPr>
          <w:rFonts w:ascii="Times New Roman" w:hAnsi="Times New Roman"/>
          <w:b/>
          <w:sz w:val="24"/>
          <w:szCs w:val="24"/>
        </w:rPr>
        <w:t>1.Б.</w:t>
      </w:r>
      <w:proofErr w:type="gramEnd"/>
      <w:r w:rsidRPr="002A33D8">
        <w:rPr>
          <w:rFonts w:ascii="Times New Roman" w:hAnsi="Times New Roman"/>
          <w:b/>
          <w:sz w:val="24"/>
          <w:szCs w:val="24"/>
        </w:rPr>
        <w:t>3.2)</w:t>
      </w:r>
    </w:p>
    <w:p w:rsidR="00C96422" w:rsidRPr="002A33D8" w:rsidRDefault="00C96422" w:rsidP="00C96422">
      <w:pPr>
        <w:pStyle w:val="a3"/>
        <w:tabs>
          <w:tab w:val="left" w:pos="43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801"/>
      </w:tblGrid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Программа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</w:pPr>
            <w:r w:rsidRPr="002A33D8">
              <w:t xml:space="preserve">Основная профессиональная образовательная программа высшего образования - программа подготовки кадров высшей </w:t>
            </w:r>
            <w:r w:rsidRPr="00483400">
              <w:t xml:space="preserve">квалификации в ординатуре по специальности </w:t>
            </w:r>
            <w:r w:rsidRPr="00483400">
              <w:rPr>
                <w:bCs/>
                <w:caps/>
              </w:rPr>
              <w:t>31.08.</w:t>
            </w:r>
            <w:r>
              <w:rPr>
                <w:bCs/>
                <w:caps/>
              </w:rPr>
              <w:t xml:space="preserve">12 </w:t>
            </w:r>
            <w:r>
              <w:rPr>
                <w:bCs/>
              </w:rPr>
              <w:t>Функциональная диагностика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31.00.00 Клиническая медицина 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31.06.01 Клиническая медицина </w:t>
            </w:r>
          </w:p>
          <w:p w:rsidR="00C96422" w:rsidRPr="002A33D8" w:rsidRDefault="00C96422" w:rsidP="00D363D6">
            <w:pPr>
              <w:jc w:val="both"/>
              <w:rPr>
                <w:lang w:eastAsia="en-US"/>
              </w:rPr>
            </w:pP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tabs>
                <w:tab w:val="left" w:pos="4320"/>
              </w:tabs>
              <w:jc w:val="both"/>
              <w:outlineLvl w:val="2"/>
              <w:rPr>
                <w:lang w:eastAsia="en-US"/>
              </w:rPr>
            </w:pPr>
            <w:r>
              <w:t>Судебно-медицинская экспертиза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Форма обучения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очная 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Врач </w:t>
            </w:r>
            <w:r>
              <w:t>–</w:t>
            </w:r>
            <w:r w:rsidRPr="002A33D8">
              <w:t xml:space="preserve"> </w:t>
            </w:r>
            <w:r>
              <w:t>функциональный диагност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Индекс дисциплины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2A33D8">
              <w:rPr>
                <w:b/>
                <w:bCs/>
              </w:rPr>
              <w:t>(</w:t>
            </w:r>
            <w:r w:rsidRPr="002A33D8">
              <w:rPr>
                <w:bCs/>
              </w:rPr>
              <w:t>Б</w:t>
            </w:r>
            <w:proofErr w:type="gramStart"/>
            <w:r w:rsidRPr="002A33D8">
              <w:rPr>
                <w:bCs/>
              </w:rPr>
              <w:t>1.Б.</w:t>
            </w:r>
            <w:proofErr w:type="gramEnd"/>
            <w:r w:rsidRPr="002A33D8">
              <w:rPr>
                <w:bCs/>
              </w:rPr>
              <w:t>3.2)</w:t>
            </w:r>
          </w:p>
          <w:p w:rsidR="00C96422" w:rsidRPr="002A33D8" w:rsidRDefault="00C96422" w:rsidP="00D363D6">
            <w:pPr>
              <w:tabs>
                <w:tab w:val="left" w:pos="4320"/>
              </w:tabs>
              <w:jc w:val="both"/>
              <w:outlineLvl w:val="2"/>
              <w:rPr>
                <w:lang w:eastAsia="en-US"/>
              </w:rPr>
            </w:pP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Курс и семестр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</w:pPr>
            <w:r w:rsidRPr="002A33D8">
              <w:rPr>
                <w:lang w:eastAsia="en-US"/>
              </w:rPr>
              <w:t>Первый курс, второй семестр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1 зачетная единица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Продолжительность в часах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36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   в </w:t>
            </w:r>
            <w:proofErr w:type="spellStart"/>
            <w:r w:rsidRPr="002A33D8">
              <w:t>т.ч</w:t>
            </w:r>
            <w:proofErr w:type="spellEnd"/>
            <w:r w:rsidRPr="002A33D8">
              <w:t>.</w:t>
            </w:r>
          </w:p>
        </w:tc>
        <w:tc>
          <w:tcPr>
            <w:tcW w:w="4918" w:type="dxa"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</w:p>
        </w:tc>
      </w:tr>
      <w:tr w:rsidR="00C96422" w:rsidRPr="002A33D8" w:rsidTr="00D363D6">
        <w:trPr>
          <w:trHeight w:val="80"/>
        </w:trPr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9</w:t>
            </w:r>
          </w:p>
        </w:tc>
      </w:tr>
      <w:tr w:rsidR="00C96422" w:rsidRPr="002A33D8" w:rsidTr="00D363D6">
        <w:tc>
          <w:tcPr>
            <w:tcW w:w="4653" w:type="dxa"/>
            <w:hideMark/>
          </w:tcPr>
          <w:p w:rsidR="00C96422" w:rsidRPr="002A33D8" w:rsidRDefault="00C96422" w:rsidP="00D363D6">
            <w:pPr>
              <w:jc w:val="both"/>
              <w:rPr>
                <w:lang w:eastAsia="en-US"/>
              </w:rPr>
            </w:pPr>
            <w:r w:rsidRPr="002A33D8">
              <w:t>Форма контроля</w:t>
            </w:r>
          </w:p>
        </w:tc>
        <w:tc>
          <w:tcPr>
            <w:tcW w:w="4918" w:type="dxa"/>
            <w:hideMark/>
          </w:tcPr>
          <w:p w:rsidR="00C96422" w:rsidRPr="002A33D8" w:rsidRDefault="00C96422" w:rsidP="00D363D6">
            <w:pPr>
              <w:jc w:val="both"/>
            </w:pPr>
            <w:r w:rsidRPr="002A33D8">
              <w:t>Зачет</w:t>
            </w:r>
          </w:p>
          <w:p w:rsidR="00C96422" w:rsidRPr="002A33D8" w:rsidRDefault="00C96422" w:rsidP="00D363D6">
            <w:pPr>
              <w:jc w:val="both"/>
              <w:rPr>
                <w:lang w:eastAsia="en-US"/>
              </w:rPr>
            </w:pPr>
          </w:p>
        </w:tc>
      </w:tr>
    </w:tbl>
    <w:p w:rsidR="00C96422" w:rsidRPr="002A33D8" w:rsidRDefault="00C96422" w:rsidP="00C964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33D8">
        <w:rPr>
          <w:rFonts w:ascii="Times New Roman" w:hAnsi="Times New Roman"/>
          <w:b/>
          <w:sz w:val="28"/>
          <w:szCs w:val="28"/>
        </w:rPr>
        <w:t xml:space="preserve">1.1 Цель рабочей программы </w:t>
      </w:r>
      <w:r w:rsidRPr="002A33D8">
        <w:rPr>
          <w:rFonts w:ascii="Times New Roman" w:hAnsi="Times New Roman"/>
          <w:bCs/>
          <w:sz w:val="28"/>
          <w:szCs w:val="28"/>
        </w:rPr>
        <w:t>учебной дисциплины (модуля)</w:t>
      </w:r>
      <w:r w:rsidRPr="002A33D8">
        <w:rPr>
          <w:rFonts w:ascii="Times New Roman" w:hAnsi="Times New Roman"/>
          <w:sz w:val="28"/>
          <w:szCs w:val="28"/>
        </w:rPr>
        <w:t xml:space="preserve"> «Педагогика» </w:t>
      </w:r>
      <w:r w:rsidRPr="002A33D8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 высшего образования – программы ординатуры</w:t>
      </w:r>
      <w:r w:rsidRPr="002A33D8">
        <w:rPr>
          <w:rFonts w:ascii="Times New Roman" w:hAnsi="Times New Roman"/>
          <w:sz w:val="28"/>
          <w:szCs w:val="28"/>
        </w:rPr>
        <w:t xml:space="preserve"> заключается в формировании и развитии психолого-педагогической компетентности, необходимой для осуществления профессиональной деятельности врача-рентгенолога.</w:t>
      </w:r>
    </w:p>
    <w:p w:rsidR="00C96422" w:rsidRPr="002A33D8" w:rsidRDefault="00C96422" w:rsidP="00C964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6422" w:rsidRPr="002A33D8" w:rsidRDefault="00C96422" w:rsidP="00C964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b/>
          <w:sz w:val="28"/>
          <w:szCs w:val="28"/>
        </w:rPr>
        <w:t>Задачи</w:t>
      </w:r>
    </w:p>
    <w:p w:rsidR="00C96422" w:rsidRPr="002A33D8" w:rsidRDefault="00C96422" w:rsidP="00C96422">
      <w:pPr>
        <w:pStyle w:val="a3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 w:bidi="en-US"/>
        </w:rPr>
      </w:pPr>
      <w:r w:rsidRPr="002A33D8">
        <w:rPr>
          <w:rFonts w:ascii="Times New Roman" w:hAnsi="Times New Roman"/>
          <w:sz w:val="28"/>
          <w:szCs w:val="28"/>
          <w:u w:val="single"/>
          <w:lang w:val="en-US" w:eastAsia="en-US" w:bidi="en-US"/>
        </w:rPr>
        <w:t>C</w:t>
      </w:r>
      <w:r w:rsidRPr="002A33D8">
        <w:rPr>
          <w:rFonts w:ascii="Times New Roman" w:hAnsi="Times New Roman"/>
          <w:sz w:val="28"/>
          <w:szCs w:val="28"/>
          <w:u w:val="single"/>
          <w:lang w:eastAsia="en-US" w:bidi="en-US"/>
        </w:rPr>
        <w:t>формировать знания: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 xml:space="preserve">- в области вопросов психологии личности и ее индивидуальных особенностей; 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 xml:space="preserve">- мотивационной сферы личности и основ процесса мотивирования в деятельности врача; 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>- педагогических основ деятельности врача.</w:t>
      </w:r>
    </w:p>
    <w:p w:rsidR="00C96422" w:rsidRPr="002A33D8" w:rsidRDefault="00C96422" w:rsidP="00C96422">
      <w:pPr>
        <w:pStyle w:val="a3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C96422" w:rsidRPr="002A33D8" w:rsidRDefault="00C96422" w:rsidP="00C96422">
      <w:pPr>
        <w:pStyle w:val="a3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 w:bidi="en-US"/>
        </w:rPr>
      </w:pPr>
      <w:r w:rsidRPr="002A33D8">
        <w:rPr>
          <w:rFonts w:ascii="Times New Roman" w:hAnsi="Times New Roman"/>
          <w:sz w:val="28"/>
          <w:szCs w:val="28"/>
          <w:u w:val="single"/>
          <w:lang w:val="en-US" w:eastAsia="en-US" w:bidi="en-US"/>
        </w:rPr>
        <w:t>C</w:t>
      </w:r>
      <w:r w:rsidRPr="002A33D8">
        <w:rPr>
          <w:rFonts w:ascii="Times New Roman" w:hAnsi="Times New Roman"/>
          <w:sz w:val="28"/>
          <w:szCs w:val="28"/>
          <w:u w:val="single"/>
          <w:lang w:eastAsia="en-US" w:bidi="en-US"/>
        </w:rPr>
        <w:t>формировать умения: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lastRenderedPageBreak/>
        <w:t>- определять психологические особенности личности;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>- мотивировать пациентов к лечению, сотрудничеству и здоровому образу жизни;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>- решать педагогические задачи в лечебном и образовательном процессе.</w:t>
      </w:r>
    </w:p>
    <w:p w:rsidR="00C96422" w:rsidRPr="002A33D8" w:rsidRDefault="00C96422" w:rsidP="00C96422">
      <w:pPr>
        <w:pStyle w:val="a3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C96422" w:rsidRPr="002A33D8" w:rsidRDefault="00C96422" w:rsidP="00C96422">
      <w:pPr>
        <w:pStyle w:val="a3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 w:bidi="en-US"/>
        </w:rPr>
      </w:pPr>
      <w:r w:rsidRPr="002A33D8">
        <w:rPr>
          <w:rFonts w:ascii="Times New Roman" w:hAnsi="Times New Roman"/>
          <w:sz w:val="28"/>
          <w:szCs w:val="28"/>
          <w:u w:val="single"/>
          <w:lang w:eastAsia="en-US" w:bidi="en-US"/>
        </w:rPr>
        <w:t xml:space="preserve">Сформировать навыки: 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 xml:space="preserve">- эффективной коммуникации в системе врач-пациент; 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sz w:val="28"/>
          <w:szCs w:val="28"/>
        </w:rPr>
        <w:t>- обучения пациен</w:t>
      </w:r>
      <w:r w:rsidRPr="002A33D8">
        <w:rPr>
          <w:rFonts w:ascii="Times New Roman" w:hAnsi="Times New Roman"/>
          <w:bCs/>
          <w:sz w:val="28"/>
          <w:szCs w:val="28"/>
        </w:rPr>
        <w:t>тов</w:t>
      </w:r>
      <w:r w:rsidRPr="002A3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3D8">
        <w:rPr>
          <w:rFonts w:ascii="Times New Roman" w:hAnsi="Times New Roman"/>
          <w:bCs/>
          <w:sz w:val="28"/>
          <w:szCs w:val="28"/>
        </w:rPr>
        <w:t>в работе врача</w:t>
      </w: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422" w:rsidRPr="002A33D8" w:rsidRDefault="00C96422" w:rsidP="00C9642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3D8">
        <w:rPr>
          <w:rFonts w:ascii="Times New Roman" w:hAnsi="Times New Roman"/>
          <w:b/>
          <w:bCs/>
          <w:sz w:val="28"/>
          <w:szCs w:val="28"/>
        </w:rPr>
        <w:t xml:space="preserve">Формируемые компетенции: </w:t>
      </w:r>
      <w:r w:rsidRPr="002A33D8">
        <w:rPr>
          <w:rFonts w:ascii="Times New Roman" w:hAnsi="Times New Roman"/>
          <w:bCs/>
          <w:sz w:val="28"/>
          <w:szCs w:val="28"/>
        </w:rPr>
        <w:t>УК-3; ПК-7</w:t>
      </w:r>
      <w:r w:rsidRPr="002A33D8">
        <w:rPr>
          <w:rFonts w:ascii="Times New Roman" w:hAnsi="Times New Roman"/>
          <w:sz w:val="28"/>
          <w:szCs w:val="28"/>
        </w:rPr>
        <w:t>.</w:t>
      </w:r>
    </w:p>
    <w:p w:rsidR="008D3B62" w:rsidRDefault="008D3B62">
      <w:bookmarkStart w:id="0" w:name="_GoBack"/>
      <w:bookmarkEnd w:id="0"/>
    </w:p>
    <w:sectPr w:rsidR="008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DC2"/>
    <w:multiLevelType w:val="multilevel"/>
    <w:tmpl w:val="F3CC6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2"/>
    <w:rsid w:val="008D3B62"/>
    <w:rsid w:val="00C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C42C-C91B-40CB-8772-B81D91B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642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9642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2019-01-08T17:53:00Z</dcterms:created>
  <dcterms:modified xsi:type="dcterms:W3CDTF">2019-01-08T17:54:00Z</dcterms:modified>
</cp:coreProperties>
</file>