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C5" w:rsidRDefault="000269C5">
      <w:pPr>
        <w:pStyle w:val="ConsPlusTitlePage"/>
      </w:pPr>
      <w:r>
        <w:t xml:space="preserve">Документ предоставлен </w:t>
      </w:r>
      <w:hyperlink r:id="rId5">
        <w:r>
          <w:rPr>
            <w:color w:val="0000FF"/>
          </w:rPr>
          <w:t>КонсультантПлюс</w:t>
        </w:r>
      </w:hyperlink>
      <w:r>
        <w:br/>
      </w:r>
    </w:p>
    <w:p w:rsidR="000269C5" w:rsidRDefault="000269C5">
      <w:pPr>
        <w:pStyle w:val="ConsPlusNormal"/>
        <w:jc w:val="both"/>
        <w:outlineLvl w:val="0"/>
      </w:pPr>
    </w:p>
    <w:p w:rsidR="000269C5" w:rsidRDefault="000269C5">
      <w:pPr>
        <w:pStyle w:val="ConsPlusNormal"/>
        <w:outlineLvl w:val="0"/>
      </w:pPr>
      <w:r>
        <w:t>Зарегистрировано в Минюсте России 23 октября 2014 г. N 34422</w:t>
      </w:r>
    </w:p>
    <w:p w:rsidR="000269C5" w:rsidRDefault="000269C5">
      <w:pPr>
        <w:pStyle w:val="ConsPlusNormal"/>
        <w:pBdr>
          <w:bottom w:val="single" w:sz="6" w:space="0" w:color="auto"/>
        </w:pBdr>
        <w:spacing w:before="100" w:after="100"/>
        <w:jc w:val="both"/>
        <w:rPr>
          <w:sz w:val="2"/>
          <w:szCs w:val="2"/>
        </w:rPr>
      </w:pPr>
    </w:p>
    <w:p w:rsidR="000269C5" w:rsidRDefault="000269C5">
      <w:pPr>
        <w:pStyle w:val="ConsPlusNormal"/>
        <w:jc w:val="both"/>
      </w:pPr>
    </w:p>
    <w:p w:rsidR="000269C5" w:rsidRDefault="000269C5">
      <w:pPr>
        <w:pStyle w:val="ConsPlusTitle"/>
        <w:jc w:val="center"/>
      </w:pPr>
      <w:r>
        <w:t>МИНИСТЕРСТВО ОБРАЗОВАНИЯ И НАУКИ РОССИЙСКОЙ ФЕДЕРАЦИИ</w:t>
      </w:r>
    </w:p>
    <w:p w:rsidR="000269C5" w:rsidRDefault="000269C5">
      <w:pPr>
        <w:pStyle w:val="ConsPlusTitle"/>
        <w:jc w:val="center"/>
      </w:pPr>
    </w:p>
    <w:p w:rsidR="000269C5" w:rsidRDefault="000269C5">
      <w:pPr>
        <w:pStyle w:val="ConsPlusTitle"/>
        <w:jc w:val="center"/>
      </w:pPr>
      <w:r>
        <w:t>ПРИКАЗ</w:t>
      </w:r>
    </w:p>
    <w:p w:rsidR="000269C5" w:rsidRDefault="000269C5">
      <w:pPr>
        <w:pStyle w:val="ConsPlusTitle"/>
        <w:jc w:val="center"/>
      </w:pPr>
      <w:r>
        <w:t>от 27 августа 2014 г. N 1130</w:t>
      </w:r>
    </w:p>
    <w:p w:rsidR="000269C5" w:rsidRDefault="000269C5">
      <w:pPr>
        <w:pStyle w:val="ConsPlusTitle"/>
        <w:jc w:val="center"/>
      </w:pPr>
    </w:p>
    <w:p w:rsidR="000269C5" w:rsidRDefault="000269C5">
      <w:pPr>
        <w:pStyle w:val="ConsPlusTitle"/>
        <w:jc w:val="center"/>
      </w:pPr>
      <w:r>
        <w:t>ОБ УТВЕРЖДЕНИИ</w:t>
      </w:r>
    </w:p>
    <w:p w:rsidR="000269C5" w:rsidRDefault="000269C5">
      <w:pPr>
        <w:pStyle w:val="ConsPlusTitle"/>
        <w:jc w:val="center"/>
      </w:pPr>
      <w:r>
        <w:t>ФЕДЕРАЛЬНОГО ГОСУДАРСТВЕННОГО ОБРАЗОВАТЕЛЬНОГО СТАНДАРТА</w:t>
      </w:r>
    </w:p>
    <w:p w:rsidR="000269C5" w:rsidRDefault="000269C5">
      <w:pPr>
        <w:pStyle w:val="ConsPlusTitle"/>
        <w:jc w:val="center"/>
      </w:pPr>
      <w:r>
        <w:t>ВЫСШЕГО ОБРАЗОВАНИЯ ПО СПЕЦИАЛЬНОСТИ 32.08.02 ГИГИЕНА</w:t>
      </w:r>
    </w:p>
    <w:p w:rsidR="000269C5" w:rsidRDefault="000269C5">
      <w:pPr>
        <w:pStyle w:val="ConsPlusTitle"/>
        <w:jc w:val="center"/>
      </w:pPr>
      <w:r>
        <w:t>ПИТАНИЯ (УРОВЕНЬ ПОДГОТОВКИ КАДРОВ ВЫСШЕЙ КВАЛИФИКАЦИИ)</w:t>
      </w:r>
    </w:p>
    <w:p w:rsidR="000269C5" w:rsidRDefault="000269C5">
      <w:pPr>
        <w:pStyle w:val="ConsPlusNormal"/>
        <w:jc w:val="both"/>
      </w:pPr>
    </w:p>
    <w:p w:rsidR="000269C5" w:rsidRDefault="000269C5">
      <w:pPr>
        <w:pStyle w:val="ConsPlusNormal"/>
        <w:ind w:firstLine="540"/>
        <w:jc w:val="both"/>
      </w:pPr>
      <w:r>
        <w:t xml:space="preserve">В соответствии с подпунктом 5.2.42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0269C5" w:rsidRDefault="000269C5">
      <w:pPr>
        <w:pStyle w:val="ConsPlusNormal"/>
        <w:spacing w:before="220"/>
        <w:ind w:firstLine="540"/>
        <w:jc w:val="both"/>
      </w:pPr>
      <w:r>
        <w:t xml:space="preserve">Утвердить прилагаемый федеральный государственный образовательный </w:t>
      </w:r>
      <w:hyperlink w:anchor="P31">
        <w:r>
          <w:rPr>
            <w:color w:val="0000FF"/>
          </w:rPr>
          <w:t>стандарт</w:t>
        </w:r>
      </w:hyperlink>
      <w:r>
        <w:t xml:space="preserve"> высшего образования по специальности 32.08.02 Гигиена питания (уровень подготовки кадров высшей квалификации).</w:t>
      </w:r>
    </w:p>
    <w:p w:rsidR="000269C5" w:rsidRDefault="000269C5">
      <w:pPr>
        <w:pStyle w:val="ConsPlusNormal"/>
        <w:jc w:val="both"/>
      </w:pPr>
    </w:p>
    <w:p w:rsidR="000269C5" w:rsidRDefault="000269C5">
      <w:pPr>
        <w:pStyle w:val="ConsPlusNormal"/>
        <w:jc w:val="right"/>
      </w:pPr>
      <w:r>
        <w:t>Министр</w:t>
      </w:r>
    </w:p>
    <w:p w:rsidR="000269C5" w:rsidRDefault="000269C5">
      <w:pPr>
        <w:pStyle w:val="ConsPlusNormal"/>
        <w:jc w:val="right"/>
      </w:pPr>
      <w:r>
        <w:t>Д.В.ЛИВАНОВ</w:t>
      </w:r>
    </w:p>
    <w:p w:rsidR="000269C5" w:rsidRDefault="000269C5">
      <w:pPr>
        <w:pStyle w:val="ConsPlusNormal"/>
        <w:jc w:val="both"/>
      </w:pPr>
    </w:p>
    <w:p w:rsidR="000269C5" w:rsidRDefault="000269C5">
      <w:pPr>
        <w:pStyle w:val="ConsPlusNormal"/>
        <w:jc w:val="both"/>
      </w:pPr>
    </w:p>
    <w:p w:rsidR="000269C5" w:rsidRDefault="000269C5">
      <w:pPr>
        <w:pStyle w:val="ConsPlusNormal"/>
        <w:jc w:val="both"/>
      </w:pPr>
    </w:p>
    <w:p w:rsidR="000269C5" w:rsidRDefault="000269C5">
      <w:pPr>
        <w:pStyle w:val="ConsPlusNormal"/>
        <w:jc w:val="both"/>
      </w:pPr>
    </w:p>
    <w:p w:rsidR="000269C5" w:rsidRDefault="000269C5">
      <w:pPr>
        <w:pStyle w:val="ConsPlusNormal"/>
        <w:jc w:val="both"/>
      </w:pPr>
    </w:p>
    <w:p w:rsidR="000269C5" w:rsidRDefault="000269C5">
      <w:pPr>
        <w:pStyle w:val="ConsPlusNormal"/>
        <w:jc w:val="right"/>
        <w:outlineLvl w:val="0"/>
      </w:pPr>
      <w:r>
        <w:t>Приложение</w:t>
      </w:r>
    </w:p>
    <w:p w:rsidR="000269C5" w:rsidRDefault="000269C5">
      <w:pPr>
        <w:pStyle w:val="ConsPlusNormal"/>
        <w:jc w:val="both"/>
      </w:pPr>
    </w:p>
    <w:p w:rsidR="000269C5" w:rsidRDefault="000269C5">
      <w:pPr>
        <w:pStyle w:val="ConsPlusNormal"/>
        <w:jc w:val="right"/>
      </w:pPr>
      <w:r>
        <w:t>Утвержден</w:t>
      </w:r>
    </w:p>
    <w:p w:rsidR="000269C5" w:rsidRDefault="000269C5">
      <w:pPr>
        <w:pStyle w:val="ConsPlusNormal"/>
        <w:jc w:val="right"/>
      </w:pPr>
      <w:r>
        <w:t>приказом Министерства образования</w:t>
      </w:r>
    </w:p>
    <w:p w:rsidR="000269C5" w:rsidRDefault="000269C5">
      <w:pPr>
        <w:pStyle w:val="ConsPlusNormal"/>
        <w:jc w:val="right"/>
      </w:pPr>
      <w:r>
        <w:t>и науки Российской Федерации</w:t>
      </w:r>
    </w:p>
    <w:p w:rsidR="000269C5" w:rsidRDefault="000269C5">
      <w:pPr>
        <w:pStyle w:val="ConsPlusNormal"/>
        <w:jc w:val="right"/>
      </w:pPr>
      <w:r>
        <w:t>от 27 августа 2014 г. N 1130</w:t>
      </w:r>
    </w:p>
    <w:p w:rsidR="000269C5" w:rsidRDefault="000269C5">
      <w:pPr>
        <w:pStyle w:val="ConsPlusNormal"/>
        <w:jc w:val="both"/>
      </w:pPr>
    </w:p>
    <w:p w:rsidR="000269C5" w:rsidRDefault="000269C5">
      <w:pPr>
        <w:pStyle w:val="ConsPlusTitle"/>
        <w:jc w:val="center"/>
      </w:pPr>
      <w:bookmarkStart w:id="0" w:name="P31"/>
      <w:bookmarkEnd w:id="0"/>
      <w:r>
        <w:t>ФЕДЕРАЛЬНЫЙ ГОСУДАРСТВЕННЫЙ ОБРАЗОВАТЕЛЬНЫЙ СТАНДАРТ</w:t>
      </w:r>
    </w:p>
    <w:p w:rsidR="000269C5" w:rsidRDefault="000269C5">
      <w:pPr>
        <w:pStyle w:val="ConsPlusTitle"/>
        <w:jc w:val="center"/>
      </w:pPr>
      <w:r>
        <w:t>ВЫСШЕГО ОБРАЗОВАНИЯ</w:t>
      </w:r>
    </w:p>
    <w:p w:rsidR="000269C5" w:rsidRDefault="000269C5">
      <w:pPr>
        <w:pStyle w:val="ConsPlusTitle"/>
        <w:jc w:val="center"/>
      </w:pPr>
    </w:p>
    <w:p w:rsidR="000269C5" w:rsidRDefault="000269C5">
      <w:pPr>
        <w:pStyle w:val="ConsPlusTitle"/>
        <w:jc w:val="center"/>
      </w:pPr>
      <w:r>
        <w:t>УРОВЕНЬ ВЫСШЕГО ОБРАЗОВАНИЯ</w:t>
      </w:r>
    </w:p>
    <w:p w:rsidR="000269C5" w:rsidRDefault="000269C5">
      <w:pPr>
        <w:pStyle w:val="ConsPlusTitle"/>
        <w:jc w:val="center"/>
      </w:pPr>
      <w:r>
        <w:t>ПОДГОТОВКА КАДРОВ ВЫСШЕЙ КВАЛИФИКАЦИИ</w:t>
      </w:r>
    </w:p>
    <w:p w:rsidR="000269C5" w:rsidRDefault="000269C5">
      <w:pPr>
        <w:pStyle w:val="ConsPlusTitle"/>
        <w:jc w:val="center"/>
      </w:pPr>
    </w:p>
    <w:p w:rsidR="000269C5" w:rsidRDefault="000269C5">
      <w:pPr>
        <w:pStyle w:val="ConsPlusTitle"/>
        <w:jc w:val="center"/>
      </w:pPr>
      <w:r>
        <w:t>СПЕЦИАЛЬНОСТЬ</w:t>
      </w:r>
    </w:p>
    <w:p w:rsidR="000269C5" w:rsidRDefault="000269C5">
      <w:pPr>
        <w:pStyle w:val="ConsPlusTitle"/>
        <w:jc w:val="center"/>
      </w:pPr>
      <w:r>
        <w:t>32.08.02 ГИГИЕНА ПИТАНИЯ</w:t>
      </w:r>
    </w:p>
    <w:p w:rsidR="000269C5" w:rsidRDefault="000269C5">
      <w:pPr>
        <w:pStyle w:val="ConsPlusNormal"/>
        <w:jc w:val="both"/>
      </w:pPr>
    </w:p>
    <w:p w:rsidR="000269C5" w:rsidRDefault="000269C5">
      <w:pPr>
        <w:pStyle w:val="ConsPlusNormal"/>
        <w:jc w:val="center"/>
        <w:outlineLvl w:val="1"/>
      </w:pPr>
      <w:r>
        <w:t>I. ОБЛАСТЬ ПРИМЕНЕНИЯ</w:t>
      </w:r>
    </w:p>
    <w:p w:rsidR="000269C5" w:rsidRDefault="000269C5">
      <w:pPr>
        <w:pStyle w:val="ConsPlusNormal"/>
        <w:jc w:val="both"/>
      </w:pPr>
    </w:p>
    <w:p w:rsidR="000269C5" w:rsidRDefault="000269C5">
      <w:pPr>
        <w:pStyle w:val="ConsPlusNormal"/>
        <w:ind w:firstLine="540"/>
        <w:jc w:val="both"/>
      </w:pPr>
      <w: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32.08.02 Гигиена питания (далее соответственно - программа ординатуры, специальность).</w:t>
      </w:r>
    </w:p>
    <w:p w:rsidR="000269C5" w:rsidRDefault="000269C5">
      <w:pPr>
        <w:pStyle w:val="ConsPlusNormal"/>
        <w:jc w:val="both"/>
      </w:pPr>
    </w:p>
    <w:p w:rsidR="000269C5" w:rsidRDefault="000269C5">
      <w:pPr>
        <w:pStyle w:val="ConsPlusNormal"/>
        <w:jc w:val="center"/>
        <w:outlineLvl w:val="1"/>
      </w:pPr>
      <w:r>
        <w:t>II. ИСПОЛЬЗУЕМЫЕ СОКРАЩЕНИЯ</w:t>
      </w:r>
    </w:p>
    <w:p w:rsidR="000269C5" w:rsidRDefault="000269C5">
      <w:pPr>
        <w:pStyle w:val="ConsPlusNormal"/>
        <w:jc w:val="both"/>
      </w:pPr>
    </w:p>
    <w:p w:rsidR="000269C5" w:rsidRDefault="000269C5">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0269C5" w:rsidRDefault="000269C5">
      <w:pPr>
        <w:pStyle w:val="ConsPlusNormal"/>
        <w:spacing w:before="220"/>
        <w:ind w:firstLine="540"/>
        <w:jc w:val="both"/>
      </w:pPr>
      <w:r>
        <w:t>УК - универсальные компетенции;</w:t>
      </w:r>
    </w:p>
    <w:p w:rsidR="000269C5" w:rsidRDefault="000269C5">
      <w:pPr>
        <w:pStyle w:val="ConsPlusNormal"/>
        <w:spacing w:before="220"/>
        <w:ind w:firstLine="540"/>
        <w:jc w:val="both"/>
      </w:pPr>
      <w:r>
        <w:t>ПК - профессиональные компетенции;</w:t>
      </w:r>
    </w:p>
    <w:p w:rsidR="000269C5" w:rsidRDefault="000269C5">
      <w:pPr>
        <w:pStyle w:val="ConsPlusNormal"/>
        <w:spacing w:before="220"/>
        <w:ind w:firstLine="540"/>
        <w:jc w:val="both"/>
      </w:pPr>
      <w:r>
        <w:t>ФГОС ВО - федеральный государственный образовательный стандарт высшего образования;</w:t>
      </w:r>
    </w:p>
    <w:p w:rsidR="000269C5" w:rsidRDefault="000269C5">
      <w:pPr>
        <w:pStyle w:val="ConsPlusNormal"/>
        <w:spacing w:before="220"/>
        <w:ind w:firstLine="540"/>
        <w:jc w:val="both"/>
      </w:pPr>
      <w:r>
        <w:t>сетевая форма - сетевая форма реализации образовательных программ.</w:t>
      </w:r>
    </w:p>
    <w:p w:rsidR="000269C5" w:rsidRDefault="000269C5">
      <w:pPr>
        <w:pStyle w:val="ConsPlusNormal"/>
        <w:jc w:val="both"/>
      </w:pPr>
    </w:p>
    <w:p w:rsidR="000269C5" w:rsidRDefault="000269C5">
      <w:pPr>
        <w:pStyle w:val="ConsPlusNormal"/>
        <w:jc w:val="center"/>
        <w:outlineLvl w:val="1"/>
      </w:pPr>
      <w:r>
        <w:t>III. ХАРАКТЕРИСТИКА СПЕЦИАЛЬНОСТИ</w:t>
      </w:r>
    </w:p>
    <w:p w:rsidR="000269C5" w:rsidRDefault="000269C5">
      <w:pPr>
        <w:pStyle w:val="ConsPlusNormal"/>
        <w:jc w:val="both"/>
      </w:pPr>
    </w:p>
    <w:p w:rsidR="000269C5" w:rsidRDefault="000269C5">
      <w:pPr>
        <w:pStyle w:val="ConsPlusNormal"/>
        <w:ind w:firstLine="540"/>
        <w:jc w:val="both"/>
      </w:pPr>
      <w: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0269C5" w:rsidRDefault="000269C5">
      <w:pPr>
        <w:pStyle w:val="ConsPlusNormal"/>
        <w:spacing w:before="220"/>
        <w:ind w:firstLine="540"/>
        <w:jc w:val="both"/>
      </w:pPr>
      <w:r>
        <w:t>3.2. Обучение по программе ординатуры в организациях осуществляется в очной форме обучения.</w:t>
      </w:r>
    </w:p>
    <w:p w:rsidR="000269C5" w:rsidRDefault="000269C5">
      <w:pPr>
        <w:pStyle w:val="ConsPlusNormal"/>
        <w:spacing w:before="220"/>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0269C5" w:rsidRDefault="000269C5">
      <w:pPr>
        <w:pStyle w:val="ConsPlusNormal"/>
        <w:spacing w:before="220"/>
        <w:ind w:firstLine="540"/>
        <w:jc w:val="both"/>
      </w:pPr>
      <w:r>
        <w:t>3.3. Срок получения образования по программе ординатуры:</w:t>
      </w:r>
    </w:p>
    <w:p w:rsidR="000269C5" w:rsidRDefault="000269C5">
      <w:pPr>
        <w:pStyle w:val="ConsPlusNormal"/>
        <w:spacing w:before="220"/>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0269C5" w:rsidRDefault="000269C5">
      <w:pPr>
        <w:pStyle w:val="ConsPlusNormal"/>
        <w:spacing w:before="220"/>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0269C5" w:rsidRDefault="000269C5">
      <w:pPr>
        <w:pStyle w:val="ConsPlusNormal"/>
        <w:spacing w:before="220"/>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0269C5" w:rsidRDefault="000269C5">
      <w:pPr>
        <w:pStyle w:val="ConsPlusNormal"/>
        <w:spacing w:before="220"/>
        <w:ind w:firstLine="540"/>
        <w:jc w:val="both"/>
      </w:pPr>
      <w:r>
        <w:lastRenderedPageBreak/>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0269C5" w:rsidRDefault="000269C5">
      <w:pPr>
        <w:pStyle w:val="ConsPlusNormal"/>
        <w:spacing w:before="220"/>
        <w:ind w:firstLine="540"/>
        <w:jc w:val="both"/>
      </w:pPr>
      <w:r>
        <w:t>3.5. Реализация программы ординатуры возможна с использованием сетевой формы.</w:t>
      </w:r>
    </w:p>
    <w:p w:rsidR="000269C5" w:rsidRDefault="000269C5">
      <w:pPr>
        <w:pStyle w:val="ConsPlusNormal"/>
        <w:spacing w:before="220"/>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0269C5" w:rsidRDefault="000269C5">
      <w:pPr>
        <w:pStyle w:val="ConsPlusNormal"/>
        <w:jc w:val="both"/>
      </w:pPr>
    </w:p>
    <w:p w:rsidR="000269C5" w:rsidRDefault="000269C5">
      <w:pPr>
        <w:pStyle w:val="ConsPlusNormal"/>
        <w:jc w:val="center"/>
        <w:outlineLvl w:val="1"/>
      </w:pPr>
      <w:r>
        <w:t>IV. ХАРАКТЕРИСТИКА ПРОФЕССИОНАЛЬНОЙ ДЕЯТЕЛЬНОСТИ</w:t>
      </w:r>
    </w:p>
    <w:p w:rsidR="000269C5" w:rsidRDefault="000269C5">
      <w:pPr>
        <w:pStyle w:val="ConsPlusNormal"/>
        <w:jc w:val="center"/>
      </w:pPr>
      <w:r>
        <w:t>ВЫПУСКНИКОВ, ОСВОИВШИХ ПРОГРАММУ ОРДИНАТУРЫ</w:t>
      </w:r>
    </w:p>
    <w:p w:rsidR="000269C5" w:rsidRDefault="000269C5">
      <w:pPr>
        <w:pStyle w:val="ConsPlusNormal"/>
        <w:jc w:val="both"/>
      </w:pPr>
    </w:p>
    <w:p w:rsidR="000269C5" w:rsidRDefault="000269C5">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в части обеспечения мер санитарно-эпидемиологического (профилактического) характера, направленных на санитарно-эпидемиологическое благополучие населения, в том числе осуществление надзора в сфере защиты прав потребителей.</w:t>
      </w:r>
    </w:p>
    <w:p w:rsidR="000269C5" w:rsidRDefault="000269C5">
      <w:pPr>
        <w:pStyle w:val="ConsPlusNormal"/>
        <w:spacing w:before="220"/>
        <w:ind w:firstLine="540"/>
        <w:jc w:val="both"/>
      </w:pPr>
      <w:r>
        <w:t>4.2. Объектами профессиональной деятельности выпускников, освоивших программу ординатуры, являются:</w:t>
      </w:r>
    </w:p>
    <w:p w:rsidR="000269C5" w:rsidRDefault="000269C5">
      <w:pPr>
        <w:pStyle w:val="ConsPlusNormal"/>
        <w:spacing w:before="220"/>
        <w:ind w:firstLine="540"/>
        <w:jc w:val="both"/>
      </w:pPr>
      <w:r>
        <w:t>физические лица (далее - человек);</w:t>
      </w:r>
    </w:p>
    <w:p w:rsidR="000269C5" w:rsidRDefault="000269C5">
      <w:pPr>
        <w:pStyle w:val="ConsPlusNormal"/>
        <w:spacing w:before="220"/>
        <w:ind w:firstLine="540"/>
        <w:jc w:val="both"/>
      </w:pPr>
      <w:r>
        <w:t>население;</w:t>
      </w:r>
    </w:p>
    <w:p w:rsidR="000269C5" w:rsidRDefault="000269C5">
      <w:pPr>
        <w:pStyle w:val="ConsPlusNormal"/>
        <w:spacing w:before="220"/>
        <w:ind w:firstLine="540"/>
        <w:jc w:val="both"/>
      </w:pPr>
      <w:r>
        <w:t>среда обитания человека;</w:t>
      </w:r>
    </w:p>
    <w:p w:rsidR="000269C5" w:rsidRDefault="000269C5">
      <w:pPr>
        <w:pStyle w:val="ConsPlusNormal"/>
        <w:spacing w:before="220"/>
        <w:ind w:firstLine="540"/>
        <w:jc w:val="both"/>
      </w:pPr>
      <w:r>
        <w:t>юридические лица, индивидуальные предприниматели;</w:t>
      </w:r>
    </w:p>
    <w:p w:rsidR="000269C5" w:rsidRDefault="000269C5">
      <w:pPr>
        <w:pStyle w:val="ConsPlusNormal"/>
        <w:spacing w:before="220"/>
        <w:ind w:firstLine="540"/>
        <w:jc w:val="both"/>
      </w:pPr>
      <w:r>
        <w:t>совокупность средств и технологий, направленных на обеспечение санитарно-эпидемиологического благополучия населения, сохранение и улучшение его здоровья, в том числе осуществление надзора в сфере защиты прав потребителей.</w:t>
      </w:r>
    </w:p>
    <w:p w:rsidR="000269C5" w:rsidRDefault="000269C5">
      <w:pPr>
        <w:pStyle w:val="ConsPlusNormal"/>
        <w:spacing w:before="220"/>
        <w:ind w:firstLine="540"/>
        <w:jc w:val="both"/>
      </w:pPr>
      <w:r>
        <w:t>4.3. Виды профессиональной деятельности, к которым готовятся выпускники, освоившие программу ординатуры:</w:t>
      </w:r>
    </w:p>
    <w:p w:rsidR="000269C5" w:rsidRDefault="000269C5">
      <w:pPr>
        <w:pStyle w:val="ConsPlusNormal"/>
        <w:spacing w:before="220"/>
        <w:ind w:firstLine="540"/>
        <w:jc w:val="both"/>
      </w:pPr>
      <w:r>
        <w:t>производственно-технологическая деятельность;</w:t>
      </w:r>
    </w:p>
    <w:p w:rsidR="000269C5" w:rsidRDefault="000269C5">
      <w:pPr>
        <w:pStyle w:val="ConsPlusNormal"/>
        <w:spacing w:before="220"/>
        <w:ind w:firstLine="540"/>
        <w:jc w:val="both"/>
      </w:pPr>
      <w:r>
        <w:t>психолого-педагогическая;</w:t>
      </w:r>
    </w:p>
    <w:p w:rsidR="000269C5" w:rsidRDefault="000269C5">
      <w:pPr>
        <w:pStyle w:val="ConsPlusNormal"/>
        <w:spacing w:before="220"/>
        <w:ind w:firstLine="540"/>
        <w:jc w:val="both"/>
      </w:pPr>
      <w:r>
        <w:t>организационно-управленческая деятельность.</w:t>
      </w:r>
    </w:p>
    <w:p w:rsidR="000269C5" w:rsidRDefault="000269C5">
      <w:pPr>
        <w:pStyle w:val="ConsPlusNormal"/>
        <w:spacing w:before="220"/>
        <w:ind w:firstLine="540"/>
        <w:jc w:val="both"/>
      </w:pPr>
      <w:r>
        <w:t>Программа ординатуры включает в себя все виды профессиональной деятельности, к которым готовится ординатор.</w:t>
      </w:r>
    </w:p>
    <w:p w:rsidR="000269C5" w:rsidRDefault="000269C5">
      <w:pPr>
        <w:pStyle w:val="ConsPlusNormal"/>
        <w:spacing w:before="220"/>
        <w:ind w:firstLine="540"/>
        <w:jc w:val="both"/>
      </w:pPr>
      <w:r>
        <w:t>4.4. Выпускник, освоивший программу ординатуры, готов решать следующие профессиональные задачи:</w:t>
      </w:r>
    </w:p>
    <w:p w:rsidR="000269C5" w:rsidRDefault="000269C5">
      <w:pPr>
        <w:pStyle w:val="ConsPlusNormal"/>
        <w:spacing w:before="220"/>
        <w:ind w:firstLine="540"/>
        <w:jc w:val="both"/>
      </w:pPr>
      <w:r>
        <w:t>производственно-технологическая деятельность:</w:t>
      </w:r>
    </w:p>
    <w:p w:rsidR="000269C5" w:rsidRDefault="000269C5">
      <w:pPr>
        <w:pStyle w:val="ConsPlusNormal"/>
        <w:spacing w:before="220"/>
        <w:ind w:firstLine="540"/>
        <w:jc w:val="both"/>
      </w:pPr>
      <w:r>
        <w:t>осуществление контрольно-надзорных функций в сфере санитарно-эпидемиологического благополучия населения, связанных с питанием населения, в том числе осуществление надзора в сфере защиты прав потребителей;</w:t>
      </w:r>
    </w:p>
    <w:p w:rsidR="000269C5" w:rsidRDefault="000269C5">
      <w:pPr>
        <w:pStyle w:val="ConsPlusNormal"/>
        <w:spacing w:before="220"/>
        <w:ind w:firstLine="540"/>
        <w:jc w:val="both"/>
      </w:pPr>
      <w:r>
        <w:t xml:space="preserve">проведение санитарно-противоэпидемических (профилактических) мероприятий, направленных на предупреждение возникновения инфекционных заболеваний и массовых </w:t>
      </w:r>
      <w:r>
        <w:lastRenderedPageBreak/>
        <w:t>неинфекционных заболеваний (отравлений);</w:t>
      </w:r>
    </w:p>
    <w:p w:rsidR="000269C5" w:rsidRDefault="000269C5">
      <w:pPr>
        <w:pStyle w:val="ConsPlusNormal"/>
        <w:spacing w:before="220"/>
        <w:ind w:firstLine="540"/>
        <w:jc w:val="both"/>
      </w:pPr>
      <w:r>
        <w:t>проведение мероприятий, направленных на устранение или уменьшение вредного воздействия на человека факторов среды обитания, связанных с питанием населения;</w:t>
      </w:r>
    </w:p>
    <w:p w:rsidR="000269C5" w:rsidRDefault="000269C5">
      <w:pPr>
        <w:pStyle w:val="ConsPlusNormal"/>
        <w:spacing w:before="220"/>
        <w:ind w:firstLine="540"/>
        <w:jc w:val="both"/>
      </w:pPr>
      <w:r>
        <w:t>проведение сбора и медико-статистического анализа информации о состоянии санитарно-эпидемиологической обстановки;</w:t>
      </w:r>
    </w:p>
    <w:p w:rsidR="000269C5" w:rsidRDefault="000269C5">
      <w:pPr>
        <w:pStyle w:val="ConsPlusNormal"/>
        <w:spacing w:before="220"/>
        <w:ind w:firstLine="540"/>
        <w:jc w:val="both"/>
      </w:pPr>
      <w:r>
        <w:t>оценка состояния здоровья населения;</w:t>
      </w:r>
    </w:p>
    <w:p w:rsidR="000269C5" w:rsidRDefault="000269C5">
      <w:pPr>
        <w:pStyle w:val="ConsPlusNormal"/>
        <w:spacing w:before="220"/>
        <w:ind w:firstLine="540"/>
        <w:jc w:val="both"/>
      </w:pPr>
      <w:r>
        <w:t>оценка состояния среды обитания человека;</w:t>
      </w:r>
    </w:p>
    <w:p w:rsidR="000269C5" w:rsidRDefault="000269C5">
      <w:pPr>
        <w:pStyle w:val="ConsPlusNormal"/>
        <w:spacing w:before="220"/>
        <w:ind w:firstLine="540"/>
        <w:jc w:val="both"/>
      </w:pPr>
      <w:r>
        <w:t>проведение диагностических исследований, предусмотренных законодательством в сфере санитарно-эпидемиологического благополучия различных групп населения;</w:t>
      </w:r>
    </w:p>
    <w:p w:rsidR="000269C5" w:rsidRDefault="000269C5">
      <w:pPr>
        <w:pStyle w:val="ConsPlusNormal"/>
        <w:spacing w:before="220"/>
        <w:ind w:firstLine="540"/>
        <w:jc w:val="both"/>
      </w:pPr>
      <w:r>
        <w:t>психолого-педагогическая деятельность:</w:t>
      </w:r>
    </w:p>
    <w:p w:rsidR="000269C5" w:rsidRDefault="000269C5">
      <w:pPr>
        <w:pStyle w:val="ConsPlusNormal"/>
        <w:spacing w:before="220"/>
        <w:ind w:firstLine="540"/>
        <w:jc w:val="both"/>
      </w:pPr>
      <w:r>
        <w:t>гигиеническое воспитание и пропаганда здорового образа жизни;</w:t>
      </w:r>
    </w:p>
    <w:p w:rsidR="000269C5" w:rsidRDefault="000269C5">
      <w:pPr>
        <w:pStyle w:val="ConsPlusNormal"/>
        <w:spacing w:before="220"/>
        <w:ind w:firstLine="540"/>
        <w:jc w:val="both"/>
      </w:pPr>
      <w:r>
        <w:t>организационно-управленческая деятельность:</w:t>
      </w:r>
    </w:p>
    <w:p w:rsidR="000269C5" w:rsidRDefault="000269C5">
      <w:pPr>
        <w:pStyle w:val="ConsPlusNormal"/>
        <w:spacing w:before="220"/>
        <w:ind w:firstLine="540"/>
        <w:jc w:val="both"/>
      </w:pPr>
      <w:r>
        <w:t>организация санитарно-противоэпидемических (профилактических) мероприятий, в том числе в условиях чрезвычайных ситуаций;</w:t>
      </w:r>
    </w:p>
    <w:p w:rsidR="000269C5" w:rsidRDefault="000269C5">
      <w:pPr>
        <w:pStyle w:val="ConsPlusNormal"/>
        <w:spacing w:before="220"/>
        <w:ind w:firstLine="540"/>
        <w:jc w:val="both"/>
      </w:pPr>
      <w:r>
        <w:t>организация труда персонала в организациях и их структурных подразделениях, осуществляющих свою деятельность в целях обеспечения санитарно-эпидемиологического благополучия населения с учетом требований техники безопасности и охраны труда;</w:t>
      </w:r>
    </w:p>
    <w:p w:rsidR="000269C5" w:rsidRDefault="000269C5">
      <w:pPr>
        <w:pStyle w:val="ConsPlusNormal"/>
        <w:spacing w:before="220"/>
        <w:ind w:firstLine="540"/>
        <w:jc w:val="both"/>
      </w:pPr>
      <w:r>
        <w:t>ведение документации, предусмотренной для обеспечения санитарно-эпидемиологического благополучия населения;</w:t>
      </w:r>
    </w:p>
    <w:p w:rsidR="000269C5" w:rsidRDefault="000269C5">
      <w:pPr>
        <w:pStyle w:val="ConsPlusNormal"/>
        <w:spacing w:before="220"/>
        <w:ind w:firstLine="540"/>
        <w:jc w:val="both"/>
      </w:pPr>
      <w:r>
        <w:t>соблюдение основных требований информационной безопасности.</w:t>
      </w:r>
    </w:p>
    <w:p w:rsidR="000269C5" w:rsidRDefault="000269C5">
      <w:pPr>
        <w:pStyle w:val="ConsPlusNormal"/>
        <w:jc w:val="both"/>
      </w:pPr>
    </w:p>
    <w:p w:rsidR="000269C5" w:rsidRDefault="000269C5">
      <w:pPr>
        <w:pStyle w:val="ConsPlusNormal"/>
        <w:jc w:val="center"/>
        <w:outlineLvl w:val="1"/>
      </w:pPr>
      <w:r>
        <w:t>V. ТРЕБОВАНИЯ К РЕЗУЛЬТАТАМ ОСВОЕНИЯ ПРОГРАММЫ ОРДИНАТУРЫ</w:t>
      </w:r>
    </w:p>
    <w:p w:rsidR="000269C5" w:rsidRDefault="000269C5">
      <w:pPr>
        <w:pStyle w:val="ConsPlusNormal"/>
        <w:jc w:val="both"/>
      </w:pPr>
    </w:p>
    <w:p w:rsidR="000269C5" w:rsidRDefault="000269C5">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0269C5" w:rsidRDefault="000269C5">
      <w:pPr>
        <w:pStyle w:val="ConsPlusNormal"/>
        <w:spacing w:before="220"/>
        <w:ind w:firstLine="540"/>
        <w:jc w:val="both"/>
      </w:pPr>
      <w:r>
        <w:t>5.2. Выпускник, освоивший программу ординатуры, должен обладать следующими универсальными компетенциями:</w:t>
      </w:r>
    </w:p>
    <w:p w:rsidR="000269C5" w:rsidRDefault="000269C5">
      <w:pPr>
        <w:pStyle w:val="ConsPlusNormal"/>
        <w:spacing w:before="220"/>
        <w:ind w:firstLine="540"/>
        <w:jc w:val="both"/>
      </w:pPr>
      <w:r>
        <w:t>готовностью к абстрактному мышлению, анализу, синтезу (УК-1);</w:t>
      </w:r>
    </w:p>
    <w:p w:rsidR="000269C5" w:rsidRDefault="000269C5">
      <w:pPr>
        <w:pStyle w:val="ConsPlusNormal"/>
        <w:spacing w:before="220"/>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0269C5" w:rsidRDefault="000269C5">
      <w:pPr>
        <w:pStyle w:val="ConsPlusNormal"/>
        <w:spacing w:before="220"/>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0269C5" w:rsidRDefault="000269C5">
      <w:pPr>
        <w:pStyle w:val="ConsPlusNormal"/>
        <w:spacing w:before="220"/>
        <w:ind w:firstLine="540"/>
        <w:jc w:val="both"/>
      </w:pPr>
      <w:r>
        <w:t>--------------------------------</w:t>
      </w:r>
    </w:p>
    <w:p w:rsidR="000269C5" w:rsidRDefault="000269C5">
      <w:pPr>
        <w:pStyle w:val="ConsPlusNormal"/>
        <w:spacing w:before="220"/>
        <w:ind w:firstLine="540"/>
        <w:jc w:val="both"/>
      </w:pPr>
      <w:r>
        <w:t xml:space="preserve">&lt;1&gt; </w:t>
      </w:r>
      <w:hyperlink r:id="rId8">
        <w:r>
          <w:rPr>
            <w:color w:val="0000FF"/>
          </w:rPr>
          <w:t>Части 13</w:t>
        </w:r>
      </w:hyperlink>
      <w:r>
        <w:t xml:space="preserve"> и </w:t>
      </w:r>
      <w:hyperlink r:id="rId9">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w:t>
      </w:r>
      <w:r>
        <w:lastRenderedPageBreak/>
        <w:t>N 53, ст. 7598; 2013, N 19, ст. 2326; N 23, ст. 2878; N 27, ст. 3462; N 30, ст. 4036; N 48, ст. 6165; 2014, N 6, ст. 562, ст. 566; N 19, ст. 2289; N 22, ст. 2769; N 23, ст. 2930, ст. 2933; N 26, ст. 3388; N 30, ст. 4263).</w:t>
      </w:r>
    </w:p>
    <w:p w:rsidR="000269C5" w:rsidRDefault="000269C5">
      <w:pPr>
        <w:pStyle w:val="ConsPlusNormal"/>
        <w:jc w:val="both"/>
      </w:pPr>
    </w:p>
    <w:p w:rsidR="000269C5" w:rsidRDefault="000269C5">
      <w:pPr>
        <w:pStyle w:val="ConsPlusNormal"/>
        <w:ind w:firstLine="540"/>
        <w:jc w:val="both"/>
      </w:pPr>
      <w:r>
        <w:t>5.3. Выпускник, освоивший программу ординатуры, должен обладать профессиональными компетенциями:</w:t>
      </w:r>
    </w:p>
    <w:p w:rsidR="000269C5" w:rsidRDefault="000269C5">
      <w:pPr>
        <w:pStyle w:val="ConsPlusNormal"/>
        <w:spacing w:before="220"/>
        <w:ind w:firstLine="540"/>
        <w:jc w:val="both"/>
      </w:pPr>
      <w:r>
        <w:t>производственно-технологическая деятельность:</w:t>
      </w:r>
    </w:p>
    <w:p w:rsidR="000269C5" w:rsidRDefault="000269C5">
      <w:pPr>
        <w:pStyle w:val="ConsPlusNormal"/>
        <w:spacing w:before="220"/>
        <w:ind w:firstLine="540"/>
        <w:jc w:val="both"/>
      </w:pPr>
      <w:r>
        <w:t>готовность к осуществлению комплекса санитарно-противоэпидемических (профилактических) мероприятий, направленных на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 (ПК-1);</w:t>
      </w:r>
    </w:p>
    <w:p w:rsidR="000269C5" w:rsidRDefault="000269C5">
      <w:pPr>
        <w:pStyle w:val="ConsPlusNormal"/>
        <w:spacing w:before="220"/>
        <w:ind w:firstLine="540"/>
        <w:jc w:val="both"/>
      </w:pPr>
      <w:r>
        <w:t>готовность к применению физиологических норм питания человека (ПК-2);</w:t>
      </w:r>
    </w:p>
    <w:p w:rsidR="000269C5" w:rsidRDefault="000269C5">
      <w:pPr>
        <w:pStyle w:val="ConsPlusNormal"/>
        <w:spacing w:before="220"/>
        <w:ind w:firstLine="540"/>
        <w:jc w:val="both"/>
      </w:pPr>
      <w:r>
        <w:t>готовность к применению установленных санитарно-эпидемиологических требований к организации питания населения (ПК-3);</w:t>
      </w:r>
    </w:p>
    <w:p w:rsidR="000269C5" w:rsidRDefault="000269C5">
      <w:pPr>
        <w:pStyle w:val="ConsPlusNormal"/>
        <w:spacing w:before="220"/>
        <w:ind w:firstLine="540"/>
        <w:jc w:val="both"/>
      </w:pPr>
      <w:r>
        <w:t>готовность к применению установленных санитарно-эпидемиологических требований к пищевым продуктам, пищевым добавкам, продовольственному сырью, а также контактирующим с ними материалам и изделиям и технологиям их производства (ПК-4);</w:t>
      </w:r>
    </w:p>
    <w:p w:rsidR="000269C5" w:rsidRDefault="000269C5">
      <w:pPr>
        <w:pStyle w:val="ConsPlusNormal"/>
        <w:spacing w:before="220"/>
        <w:ind w:firstLine="540"/>
        <w:jc w:val="both"/>
      </w:pPr>
      <w:r>
        <w:t>готовность к применению специализированного оборудования, предусмотренного для использования в профессиональной сфере (ПК-5);</w:t>
      </w:r>
    </w:p>
    <w:p w:rsidR="000269C5" w:rsidRDefault="000269C5">
      <w:pPr>
        <w:pStyle w:val="ConsPlusNormal"/>
        <w:spacing w:before="220"/>
        <w:ind w:firstLine="540"/>
        <w:jc w:val="both"/>
      </w:pPr>
      <w:r>
        <w:t>психолого-педагогическая деятельность:</w:t>
      </w:r>
    </w:p>
    <w:p w:rsidR="000269C5" w:rsidRDefault="000269C5">
      <w:pPr>
        <w:pStyle w:val="ConsPlusNormal"/>
        <w:spacing w:before="220"/>
        <w:ind w:firstLine="540"/>
        <w:jc w:val="both"/>
      </w:pPr>
      <w:r>
        <w:t>готовность к обучению населения основным гигиеническим мероприятиям оздоровительного характера, способствующим сохранению и укреплению здоровья, профилактике заболеваний (ПК-6);</w:t>
      </w:r>
    </w:p>
    <w:p w:rsidR="000269C5" w:rsidRDefault="000269C5">
      <w:pPr>
        <w:pStyle w:val="ConsPlusNormal"/>
        <w:spacing w:before="220"/>
        <w:ind w:firstLine="540"/>
        <w:jc w:val="both"/>
      </w:pPr>
      <w:r>
        <w:t>готовность к санитарно-просветительской деятельности среди различных групп населения с целью устранения факторов риска и формирования навыков здорового образа жизни, направленных на сохранение и укрепление здоровья (ПК-7);</w:t>
      </w:r>
    </w:p>
    <w:p w:rsidR="000269C5" w:rsidRDefault="000269C5">
      <w:pPr>
        <w:pStyle w:val="ConsPlusNormal"/>
        <w:spacing w:before="220"/>
        <w:ind w:firstLine="540"/>
        <w:jc w:val="both"/>
      </w:pPr>
      <w:r>
        <w:t>организационно-управленческая деятельность:</w:t>
      </w:r>
    </w:p>
    <w:p w:rsidR="000269C5" w:rsidRDefault="000269C5">
      <w:pPr>
        <w:pStyle w:val="ConsPlusNormal"/>
        <w:spacing w:before="220"/>
        <w:ind w:firstLine="540"/>
        <w:jc w:val="both"/>
      </w:pPr>
      <w:r>
        <w:t>готовность к использованию основ экономических и правовых знаний в профессиональной деятельности (ПК-8);</w:t>
      </w:r>
    </w:p>
    <w:p w:rsidR="000269C5" w:rsidRDefault="000269C5">
      <w:pPr>
        <w:pStyle w:val="ConsPlusNormal"/>
        <w:spacing w:before="220"/>
        <w:ind w:firstLine="540"/>
        <w:jc w:val="both"/>
      </w:pPr>
      <w:r>
        <w:t>готовность к применению основных принципов управления в профессиональной сфере (ПК-9);</w:t>
      </w:r>
    </w:p>
    <w:p w:rsidR="000269C5" w:rsidRDefault="000269C5">
      <w:pPr>
        <w:pStyle w:val="ConsPlusNormal"/>
        <w:spacing w:before="220"/>
        <w:ind w:firstLine="540"/>
        <w:jc w:val="both"/>
      </w:pPr>
      <w:r>
        <w:t>готовность к организации и управлению деятельностью организаций и (или) их структурных подразделений, осуществляющих свою деятельность в целях обеспечения санитарно-эпидемиологического благополучия населения (ПК-10).</w:t>
      </w:r>
    </w:p>
    <w:p w:rsidR="000269C5" w:rsidRDefault="000269C5">
      <w:pPr>
        <w:pStyle w:val="ConsPlusNormal"/>
        <w:spacing w:before="220"/>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0269C5" w:rsidRDefault="000269C5">
      <w:pPr>
        <w:pStyle w:val="ConsPlusNormal"/>
        <w:spacing w:before="220"/>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0269C5" w:rsidRDefault="000269C5">
      <w:pPr>
        <w:pStyle w:val="ConsPlusNormal"/>
        <w:spacing w:before="220"/>
        <w:ind w:firstLine="540"/>
        <w:jc w:val="both"/>
      </w:pPr>
      <w:r>
        <w:t xml:space="preserve">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w:t>
      </w:r>
      <w:r>
        <w:lastRenderedPageBreak/>
        <w:t>учетом требований соответствующих примерных основных образовательных программ.</w:t>
      </w:r>
    </w:p>
    <w:p w:rsidR="000269C5" w:rsidRDefault="000269C5">
      <w:pPr>
        <w:pStyle w:val="ConsPlusNormal"/>
        <w:jc w:val="both"/>
      </w:pPr>
    </w:p>
    <w:p w:rsidR="000269C5" w:rsidRDefault="000269C5">
      <w:pPr>
        <w:pStyle w:val="ConsPlusNormal"/>
        <w:jc w:val="center"/>
        <w:outlineLvl w:val="1"/>
      </w:pPr>
      <w:r>
        <w:t>VI. ТРЕБОВАНИЯ К СТРУКТУРЕ ПРОГРАММЫ ОРДИНАТУРЫ</w:t>
      </w:r>
    </w:p>
    <w:p w:rsidR="000269C5" w:rsidRDefault="000269C5">
      <w:pPr>
        <w:pStyle w:val="ConsPlusNormal"/>
        <w:jc w:val="both"/>
      </w:pPr>
    </w:p>
    <w:p w:rsidR="000269C5" w:rsidRDefault="000269C5">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0269C5" w:rsidRDefault="000269C5">
      <w:pPr>
        <w:pStyle w:val="ConsPlusNormal"/>
        <w:spacing w:before="220"/>
        <w:ind w:firstLine="540"/>
        <w:jc w:val="both"/>
      </w:pPr>
      <w:r>
        <w:t>6.2. Программа ординатуры состоит из следующих блоков:</w:t>
      </w:r>
    </w:p>
    <w:p w:rsidR="000269C5" w:rsidRDefault="000269C5">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0269C5" w:rsidRDefault="000269C5">
      <w:pPr>
        <w:pStyle w:val="ConsPlusNormal"/>
        <w:spacing w:before="220"/>
        <w:ind w:firstLine="540"/>
        <w:jc w:val="both"/>
      </w:pPr>
      <w:r>
        <w:t>Блок 2 "Практики", относящийся как к базовой части программы, так и к ее вариативной части.</w:t>
      </w:r>
    </w:p>
    <w:p w:rsidR="000269C5" w:rsidRDefault="000269C5">
      <w:pPr>
        <w:pStyle w:val="ConsPlusNormal"/>
        <w:spacing w:before="22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"Врач по гигиене питания".</w:t>
      </w:r>
    </w:p>
    <w:p w:rsidR="000269C5" w:rsidRDefault="000269C5">
      <w:pPr>
        <w:pStyle w:val="ConsPlusNormal"/>
        <w:jc w:val="both"/>
      </w:pPr>
    </w:p>
    <w:p w:rsidR="000269C5" w:rsidRDefault="000269C5">
      <w:pPr>
        <w:pStyle w:val="ConsPlusNormal"/>
        <w:jc w:val="center"/>
        <w:outlineLvl w:val="2"/>
      </w:pPr>
      <w:r>
        <w:t>Структура программы ординатуры</w:t>
      </w:r>
    </w:p>
    <w:p w:rsidR="000269C5" w:rsidRDefault="000269C5">
      <w:pPr>
        <w:pStyle w:val="ConsPlusNormal"/>
        <w:jc w:val="both"/>
      </w:pPr>
    </w:p>
    <w:p w:rsidR="000269C5" w:rsidRDefault="000269C5">
      <w:pPr>
        <w:pStyle w:val="ConsPlusNormal"/>
        <w:jc w:val="right"/>
      </w:pPr>
      <w:r>
        <w:t>Таблица</w:t>
      </w:r>
    </w:p>
    <w:p w:rsidR="000269C5" w:rsidRDefault="000269C5">
      <w:pPr>
        <w:pStyle w:val="ConsPlusNormal"/>
        <w:jc w:val="both"/>
      </w:pPr>
    </w:p>
    <w:p w:rsidR="000269C5" w:rsidRDefault="000269C5">
      <w:pPr>
        <w:pStyle w:val="ConsPlusNormal"/>
        <w:sectPr w:rsidR="000269C5" w:rsidSect="00F36C5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11"/>
        <w:gridCol w:w="5269"/>
        <w:gridCol w:w="2859"/>
      </w:tblGrid>
      <w:tr w:rsidR="000269C5">
        <w:tc>
          <w:tcPr>
            <w:tcW w:w="6780" w:type="dxa"/>
            <w:gridSpan w:val="2"/>
          </w:tcPr>
          <w:p w:rsidR="000269C5" w:rsidRDefault="000269C5">
            <w:pPr>
              <w:pStyle w:val="ConsPlusNormal"/>
              <w:ind w:left="1000"/>
              <w:jc w:val="both"/>
            </w:pPr>
            <w:r>
              <w:lastRenderedPageBreak/>
              <w:t>Структура программы ординатуры</w:t>
            </w:r>
          </w:p>
        </w:tc>
        <w:tc>
          <w:tcPr>
            <w:tcW w:w="2859" w:type="dxa"/>
          </w:tcPr>
          <w:p w:rsidR="000269C5" w:rsidRDefault="000269C5">
            <w:pPr>
              <w:pStyle w:val="ConsPlusNormal"/>
              <w:jc w:val="center"/>
            </w:pPr>
            <w:r>
              <w:t>Объем программы ординатуры в з.е.</w:t>
            </w:r>
          </w:p>
        </w:tc>
      </w:tr>
      <w:tr w:rsidR="000269C5">
        <w:tc>
          <w:tcPr>
            <w:tcW w:w="1511" w:type="dxa"/>
          </w:tcPr>
          <w:p w:rsidR="000269C5" w:rsidRDefault="000269C5">
            <w:pPr>
              <w:pStyle w:val="ConsPlusNormal"/>
              <w:ind w:left="140"/>
              <w:jc w:val="both"/>
            </w:pPr>
            <w:r>
              <w:t>Блок 1</w:t>
            </w:r>
          </w:p>
        </w:tc>
        <w:tc>
          <w:tcPr>
            <w:tcW w:w="5269" w:type="dxa"/>
          </w:tcPr>
          <w:p w:rsidR="000269C5" w:rsidRDefault="000269C5">
            <w:pPr>
              <w:pStyle w:val="ConsPlusNormal"/>
              <w:ind w:left="120"/>
              <w:jc w:val="both"/>
            </w:pPr>
            <w:r>
              <w:t>Дисциплины (модули)</w:t>
            </w:r>
          </w:p>
        </w:tc>
        <w:tc>
          <w:tcPr>
            <w:tcW w:w="2859" w:type="dxa"/>
          </w:tcPr>
          <w:p w:rsidR="000269C5" w:rsidRDefault="000269C5">
            <w:pPr>
              <w:pStyle w:val="ConsPlusNormal"/>
              <w:jc w:val="center"/>
            </w:pPr>
            <w:r>
              <w:t>42 - 48</w:t>
            </w:r>
          </w:p>
        </w:tc>
      </w:tr>
      <w:tr w:rsidR="000269C5">
        <w:tc>
          <w:tcPr>
            <w:tcW w:w="1511" w:type="dxa"/>
            <w:vMerge w:val="restart"/>
          </w:tcPr>
          <w:p w:rsidR="000269C5" w:rsidRDefault="000269C5">
            <w:pPr>
              <w:pStyle w:val="ConsPlusNormal"/>
            </w:pPr>
          </w:p>
        </w:tc>
        <w:tc>
          <w:tcPr>
            <w:tcW w:w="5269" w:type="dxa"/>
          </w:tcPr>
          <w:p w:rsidR="000269C5" w:rsidRDefault="000269C5">
            <w:pPr>
              <w:pStyle w:val="ConsPlusNormal"/>
              <w:ind w:left="120"/>
              <w:jc w:val="both"/>
            </w:pPr>
            <w:r>
              <w:t>Базовая часть</w:t>
            </w:r>
          </w:p>
        </w:tc>
        <w:tc>
          <w:tcPr>
            <w:tcW w:w="2859" w:type="dxa"/>
          </w:tcPr>
          <w:p w:rsidR="000269C5" w:rsidRDefault="000269C5">
            <w:pPr>
              <w:pStyle w:val="ConsPlusNormal"/>
              <w:jc w:val="center"/>
            </w:pPr>
            <w:r>
              <w:t>33 - 39</w:t>
            </w:r>
          </w:p>
        </w:tc>
      </w:tr>
      <w:tr w:rsidR="000269C5">
        <w:tc>
          <w:tcPr>
            <w:tcW w:w="1511" w:type="dxa"/>
            <w:vMerge/>
          </w:tcPr>
          <w:p w:rsidR="000269C5" w:rsidRDefault="000269C5">
            <w:pPr>
              <w:pStyle w:val="ConsPlusNormal"/>
            </w:pPr>
          </w:p>
        </w:tc>
        <w:tc>
          <w:tcPr>
            <w:tcW w:w="5269" w:type="dxa"/>
          </w:tcPr>
          <w:p w:rsidR="000269C5" w:rsidRDefault="000269C5">
            <w:pPr>
              <w:pStyle w:val="ConsPlusNormal"/>
              <w:ind w:left="120"/>
              <w:jc w:val="both"/>
            </w:pPr>
            <w:r>
              <w:t>Вариативная часть</w:t>
            </w:r>
          </w:p>
        </w:tc>
        <w:tc>
          <w:tcPr>
            <w:tcW w:w="2859" w:type="dxa"/>
          </w:tcPr>
          <w:p w:rsidR="000269C5" w:rsidRDefault="000269C5">
            <w:pPr>
              <w:pStyle w:val="ConsPlusNormal"/>
              <w:jc w:val="center"/>
            </w:pPr>
            <w:r>
              <w:t>6 - 12</w:t>
            </w:r>
          </w:p>
        </w:tc>
      </w:tr>
      <w:tr w:rsidR="000269C5">
        <w:tc>
          <w:tcPr>
            <w:tcW w:w="1511" w:type="dxa"/>
            <w:vMerge w:val="restart"/>
          </w:tcPr>
          <w:p w:rsidR="000269C5" w:rsidRDefault="000269C5">
            <w:pPr>
              <w:pStyle w:val="ConsPlusNormal"/>
              <w:ind w:left="140"/>
              <w:jc w:val="both"/>
            </w:pPr>
            <w:r>
              <w:t>Блок 2</w:t>
            </w:r>
          </w:p>
        </w:tc>
        <w:tc>
          <w:tcPr>
            <w:tcW w:w="5269" w:type="dxa"/>
          </w:tcPr>
          <w:p w:rsidR="000269C5" w:rsidRDefault="000269C5">
            <w:pPr>
              <w:pStyle w:val="ConsPlusNormal"/>
              <w:ind w:left="120"/>
              <w:jc w:val="both"/>
            </w:pPr>
            <w:r>
              <w:t>Практики</w:t>
            </w:r>
          </w:p>
        </w:tc>
        <w:tc>
          <w:tcPr>
            <w:tcW w:w="2859" w:type="dxa"/>
          </w:tcPr>
          <w:p w:rsidR="000269C5" w:rsidRDefault="000269C5">
            <w:pPr>
              <w:pStyle w:val="ConsPlusNormal"/>
              <w:jc w:val="center"/>
            </w:pPr>
            <w:r>
              <w:t>69 - 75</w:t>
            </w:r>
          </w:p>
        </w:tc>
      </w:tr>
      <w:tr w:rsidR="000269C5">
        <w:tc>
          <w:tcPr>
            <w:tcW w:w="1511" w:type="dxa"/>
            <w:vMerge/>
          </w:tcPr>
          <w:p w:rsidR="000269C5" w:rsidRDefault="000269C5">
            <w:pPr>
              <w:pStyle w:val="ConsPlusNormal"/>
            </w:pPr>
          </w:p>
        </w:tc>
        <w:tc>
          <w:tcPr>
            <w:tcW w:w="5269" w:type="dxa"/>
          </w:tcPr>
          <w:p w:rsidR="000269C5" w:rsidRDefault="000269C5">
            <w:pPr>
              <w:pStyle w:val="ConsPlusNormal"/>
              <w:ind w:left="120"/>
              <w:jc w:val="both"/>
            </w:pPr>
            <w:r>
              <w:t>Базовая часть</w:t>
            </w:r>
          </w:p>
        </w:tc>
        <w:tc>
          <w:tcPr>
            <w:tcW w:w="2859" w:type="dxa"/>
          </w:tcPr>
          <w:p w:rsidR="000269C5" w:rsidRDefault="000269C5">
            <w:pPr>
              <w:pStyle w:val="ConsPlusNormal"/>
              <w:jc w:val="center"/>
            </w:pPr>
            <w:r>
              <w:t>60 - 66</w:t>
            </w:r>
          </w:p>
        </w:tc>
      </w:tr>
      <w:tr w:rsidR="000269C5">
        <w:tc>
          <w:tcPr>
            <w:tcW w:w="1511" w:type="dxa"/>
            <w:vMerge/>
          </w:tcPr>
          <w:p w:rsidR="000269C5" w:rsidRDefault="000269C5">
            <w:pPr>
              <w:pStyle w:val="ConsPlusNormal"/>
            </w:pPr>
          </w:p>
        </w:tc>
        <w:tc>
          <w:tcPr>
            <w:tcW w:w="5269" w:type="dxa"/>
          </w:tcPr>
          <w:p w:rsidR="000269C5" w:rsidRDefault="000269C5">
            <w:pPr>
              <w:pStyle w:val="ConsPlusNormal"/>
              <w:ind w:left="120"/>
              <w:jc w:val="both"/>
            </w:pPr>
            <w:r>
              <w:t>Вариативная часть</w:t>
            </w:r>
          </w:p>
        </w:tc>
        <w:tc>
          <w:tcPr>
            <w:tcW w:w="2859" w:type="dxa"/>
          </w:tcPr>
          <w:p w:rsidR="000269C5" w:rsidRDefault="000269C5">
            <w:pPr>
              <w:pStyle w:val="ConsPlusNormal"/>
              <w:jc w:val="center"/>
            </w:pPr>
            <w:r>
              <w:t>6 - 12</w:t>
            </w:r>
          </w:p>
        </w:tc>
      </w:tr>
      <w:tr w:rsidR="000269C5">
        <w:tc>
          <w:tcPr>
            <w:tcW w:w="1511" w:type="dxa"/>
            <w:vMerge w:val="restart"/>
          </w:tcPr>
          <w:p w:rsidR="000269C5" w:rsidRDefault="000269C5">
            <w:pPr>
              <w:pStyle w:val="ConsPlusNormal"/>
              <w:ind w:left="140"/>
              <w:jc w:val="both"/>
            </w:pPr>
            <w:r>
              <w:t>Блок 3</w:t>
            </w:r>
          </w:p>
        </w:tc>
        <w:tc>
          <w:tcPr>
            <w:tcW w:w="5269" w:type="dxa"/>
          </w:tcPr>
          <w:p w:rsidR="000269C5" w:rsidRDefault="000269C5">
            <w:pPr>
              <w:pStyle w:val="ConsPlusNormal"/>
              <w:ind w:left="120"/>
              <w:jc w:val="both"/>
            </w:pPr>
            <w:r>
              <w:t>Государственная итоговая аттестация</w:t>
            </w:r>
          </w:p>
        </w:tc>
        <w:tc>
          <w:tcPr>
            <w:tcW w:w="2859" w:type="dxa"/>
          </w:tcPr>
          <w:p w:rsidR="000269C5" w:rsidRDefault="000269C5">
            <w:pPr>
              <w:pStyle w:val="ConsPlusNormal"/>
              <w:jc w:val="center"/>
            </w:pPr>
            <w:r>
              <w:t>3</w:t>
            </w:r>
          </w:p>
        </w:tc>
      </w:tr>
      <w:tr w:rsidR="000269C5">
        <w:tc>
          <w:tcPr>
            <w:tcW w:w="1511" w:type="dxa"/>
            <w:vMerge/>
          </w:tcPr>
          <w:p w:rsidR="000269C5" w:rsidRDefault="000269C5">
            <w:pPr>
              <w:pStyle w:val="ConsPlusNormal"/>
            </w:pPr>
          </w:p>
        </w:tc>
        <w:tc>
          <w:tcPr>
            <w:tcW w:w="5269" w:type="dxa"/>
          </w:tcPr>
          <w:p w:rsidR="000269C5" w:rsidRDefault="000269C5">
            <w:pPr>
              <w:pStyle w:val="ConsPlusNormal"/>
              <w:ind w:left="120"/>
              <w:jc w:val="both"/>
            </w:pPr>
            <w:r>
              <w:t>Базовая часть</w:t>
            </w:r>
          </w:p>
        </w:tc>
        <w:tc>
          <w:tcPr>
            <w:tcW w:w="2859" w:type="dxa"/>
          </w:tcPr>
          <w:p w:rsidR="000269C5" w:rsidRDefault="000269C5">
            <w:pPr>
              <w:pStyle w:val="ConsPlusNormal"/>
              <w:jc w:val="center"/>
            </w:pPr>
            <w:r>
              <w:t>3</w:t>
            </w:r>
          </w:p>
        </w:tc>
      </w:tr>
      <w:tr w:rsidR="000269C5">
        <w:tc>
          <w:tcPr>
            <w:tcW w:w="6780" w:type="dxa"/>
            <w:gridSpan w:val="2"/>
          </w:tcPr>
          <w:p w:rsidR="000269C5" w:rsidRDefault="000269C5">
            <w:pPr>
              <w:pStyle w:val="ConsPlusNormal"/>
              <w:ind w:left="140"/>
              <w:jc w:val="both"/>
            </w:pPr>
            <w:r>
              <w:t>Объем программы ординатуры</w:t>
            </w:r>
          </w:p>
        </w:tc>
        <w:tc>
          <w:tcPr>
            <w:tcW w:w="2859" w:type="dxa"/>
          </w:tcPr>
          <w:p w:rsidR="000269C5" w:rsidRDefault="000269C5">
            <w:pPr>
              <w:pStyle w:val="ConsPlusNormal"/>
              <w:jc w:val="center"/>
            </w:pPr>
            <w:r>
              <w:t>120</w:t>
            </w:r>
          </w:p>
        </w:tc>
      </w:tr>
    </w:tbl>
    <w:p w:rsidR="000269C5" w:rsidRDefault="000269C5">
      <w:pPr>
        <w:pStyle w:val="ConsPlusNormal"/>
        <w:sectPr w:rsidR="000269C5">
          <w:pgSz w:w="16838" w:h="11905" w:orient="landscape"/>
          <w:pgMar w:top="1701" w:right="1134" w:bottom="850" w:left="1134" w:header="0" w:footer="0" w:gutter="0"/>
          <w:cols w:space="720"/>
          <w:titlePg/>
        </w:sectPr>
      </w:pPr>
    </w:p>
    <w:p w:rsidR="000269C5" w:rsidRDefault="000269C5">
      <w:pPr>
        <w:pStyle w:val="ConsPlusNormal"/>
        <w:jc w:val="both"/>
      </w:pPr>
    </w:p>
    <w:p w:rsidR="000269C5" w:rsidRDefault="000269C5">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0269C5" w:rsidRDefault="000269C5">
      <w:pPr>
        <w:pStyle w:val="ConsPlusNormal"/>
        <w:spacing w:before="220"/>
        <w:ind w:firstLine="540"/>
        <w:jc w:val="both"/>
      </w:pPr>
      <w:r>
        <w:t>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0269C5" w:rsidRDefault="000269C5">
      <w:pPr>
        <w:pStyle w:val="ConsPlusNormal"/>
        <w:spacing w:before="220"/>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0269C5" w:rsidRDefault="000269C5">
      <w:pPr>
        <w:pStyle w:val="ConsPlusNormal"/>
        <w:spacing w:before="220"/>
        <w:ind w:firstLine="540"/>
        <w:jc w:val="both"/>
      </w:pPr>
      <w:r>
        <w:t>--------------------------------</w:t>
      </w:r>
    </w:p>
    <w:p w:rsidR="000269C5" w:rsidRDefault="000269C5">
      <w:pPr>
        <w:pStyle w:val="ConsPlusNormal"/>
        <w:spacing w:before="220"/>
        <w:ind w:firstLine="540"/>
        <w:jc w:val="both"/>
      </w:pPr>
      <w:r>
        <w:t xml:space="preserve">&lt;1&gt; </w:t>
      </w:r>
      <w:hyperlink r:id="rId10">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0269C5" w:rsidRDefault="000269C5">
      <w:pPr>
        <w:pStyle w:val="ConsPlusNormal"/>
        <w:jc w:val="both"/>
      </w:pPr>
    </w:p>
    <w:p w:rsidR="000269C5" w:rsidRDefault="000269C5">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0269C5" w:rsidRDefault="000269C5">
      <w:pPr>
        <w:pStyle w:val="ConsPlusNormal"/>
        <w:spacing w:before="220"/>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0269C5" w:rsidRDefault="000269C5">
      <w:pPr>
        <w:pStyle w:val="ConsPlusNormal"/>
        <w:spacing w:before="220"/>
        <w:ind w:firstLine="540"/>
        <w:jc w:val="both"/>
      </w:pPr>
      <w:r>
        <w:t>6.6. В Блок 2 "Практики" входит производственная (клиническая) практика.</w:t>
      </w:r>
    </w:p>
    <w:p w:rsidR="000269C5" w:rsidRDefault="000269C5">
      <w:pPr>
        <w:pStyle w:val="ConsPlusNormal"/>
        <w:spacing w:before="220"/>
        <w:ind w:firstLine="540"/>
        <w:jc w:val="both"/>
      </w:pPr>
      <w:r>
        <w:t>Способы проведения производственной (клинической) практики:</w:t>
      </w:r>
    </w:p>
    <w:p w:rsidR="000269C5" w:rsidRDefault="000269C5">
      <w:pPr>
        <w:pStyle w:val="ConsPlusNormal"/>
        <w:spacing w:before="220"/>
        <w:ind w:firstLine="540"/>
        <w:jc w:val="both"/>
      </w:pPr>
      <w:r>
        <w:t>стационарная;</w:t>
      </w:r>
    </w:p>
    <w:p w:rsidR="000269C5" w:rsidRDefault="000269C5">
      <w:pPr>
        <w:pStyle w:val="ConsPlusNormal"/>
        <w:spacing w:before="220"/>
        <w:ind w:firstLine="540"/>
        <w:jc w:val="both"/>
      </w:pPr>
      <w:r>
        <w:t>выездная.</w:t>
      </w:r>
    </w:p>
    <w:p w:rsidR="000269C5" w:rsidRDefault="000269C5">
      <w:pPr>
        <w:pStyle w:val="ConsPlusNormal"/>
        <w:spacing w:before="220"/>
        <w:ind w:firstLine="540"/>
        <w:jc w:val="both"/>
      </w:pPr>
      <w:r>
        <w:t>Практики могут проводиться в структурных подразделениях организации.</w:t>
      </w:r>
    </w:p>
    <w:p w:rsidR="000269C5" w:rsidRDefault="000269C5">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0269C5" w:rsidRDefault="000269C5">
      <w:pPr>
        <w:pStyle w:val="ConsPlusNormal"/>
        <w:spacing w:before="220"/>
        <w:ind w:firstLine="540"/>
        <w:jc w:val="both"/>
      </w:pPr>
      <w:r>
        <w:t>6.7. В Блок 3 "Государственная итоговая аттестация" входит подготовка к сдаче и сдача государственного экзамена.</w:t>
      </w:r>
    </w:p>
    <w:p w:rsidR="000269C5" w:rsidRDefault="000269C5">
      <w:pPr>
        <w:pStyle w:val="ConsPlusNormal"/>
        <w:spacing w:before="220"/>
        <w:ind w:firstLine="540"/>
        <w:jc w:val="both"/>
      </w:pPr>
      <w: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0269C5" w:rsidRDefault="000269C5">
      <w:pPr>
        <w:pStyle w:val="ConsPlusNormal"/>
        <w:spacing w:before="220"/>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0269C5" w:rsidRDefault="000269C5">
      <w:pPr>
        <w:pStyle w:val="ConsPlusNormal"/>
        <w:jc w:val="both"/>
      </w:pPr>
    </w:p>
    <w:p w:rsidR="000269C5" w:rsidRDefault="000269C5">
      <w:pPr>
        <w:pStyle w:val="ConsPlusNormal"/>
        <w:jc w:val="center"/>
        <w:outlineLvl w:val="1"/>
      </w:pPr>
      <w:r>
        <w:t>VII. ТРЕБОВАНИЯ К УСЛОВИЯМ РЕАЛИЗАЦИИ ПРОГРАММЫ ОРДИНАТУРЫ</w:t>
      </w:r>
    </w:p>
    <w:p w:rsidR="000269C5" w:rsidRDefault="000269C5">
      <w:pPr>
        <w:pStyle w:val="ConsPlusNormal"/>
        <w:jc w:val="both"/>
      </w:pPr>
    </w:p>
    <w:p w:rsidR="000269C5" w:rsidRDefault="000269C5">
      <w:pPr>
        <w:pStyle w:val="ConsPlusNormal"/>
        <w:ind w:firstLine="540"/>
        <w:jc w:val="both"/>
        <w:outlineLvl w:val="2"/>
      </w:pPr>
      <w:r>
        <w:t>7.1. Общесистемные требования к реализации программы ординатуры.</w:t>
      </w:r>
    </w:p>
    <w:p w:rsidR="000269C5" w:rsidRDefault="000269C5">
      <w:pPr>
        <w:pStyle w:val="ConsPlusNormal"/>
        <w:spacing w:before="220"/>
        <w:ind w:firstLine="540"/>
        <w:jc w:val="both"/>
      </w:pPr>
      <w:r>
        <w:lastRenderedPageBreak/>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0269C5" w:rsidRDefault="000269C5">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0269C5" w:rsidRDefault="000269C5">
      <w:pPr>
        <w:pStyle w:val="ConsPlusNormal"/>
        <w:spacing w:before="220"/>
        <w:ind w:firstLine="540"/>
        <w:jc w:val="both"/>
      </w:pPr>
      <w:r>
        <w:t>Электронная информационно-образовательная среда организации должна обеспечивать:</w:t>
      </w:r>
    </w:p>
    <w:p w:rsidR="000269C5" w:rsidRDefault="000269C5">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0269C5" w:rsidRDefault="000269C5">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0269C5" w:rsidRDefault="000269C5">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269C5" w:rsidRDefault="000269C5">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269C5" w:rsidRDefault="000269C5">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269C5" w:rsidRDefault="000269C5">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0269C5" w:rsidRDefault="000269C5">
      <w:pPr>
        <w:pStyle w:val="ConsPlusNormal"/>
        <w:spacing w:before="220"/>
        <w:ind w:firstLine="540"/>
        <w:jc w:val="both"/>
      </w:pPr>
      <w:r>
        <w:t>--------------------------------</w:t>
      </w:r>
    </w:p>
    <w:p w:rsidR="000269C5" w:rsidRDefault="000269C5">
      <w:pPr>
        <w:pStyle w:val="ConsPlusNormal"/>
        <w:spacing w:before="220"/>
        <w:ind w:firstLine="540"/>
        <w:jc w:val="both"/>
      </w:pPr>
      <w:r>
        <w:t xml:space="preserve">&lt;1&gt; Федеральный </w:t>
      </w:r>
      <w:hyperlink r:id="rId1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0269C5" w:rsidRDefault="000269C5">
      <w:pPr>
        <w:pStyle w:val="ConsPlusNormal"/>
        <w:jc w:val="both"/>
      </w:pPr>
    </w:p>
    <w:p w:rsidR="000269C5" w:rsidRDefault="000269C5">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0269C5" w:rsidRDefault="000269C5">
      <w:pPr>
        <w:pStyle w:val="ConsPlusNormal"/>
        <w:spacing w:before="220"/>
        <w:ind w:firstLine="540"/>
        <w:jc w:val="both"/>
      </w:pPr>
      <w:r>
        <w:lastRenderedPageBreak/>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0269C5" w:rsidRDefault="000269C5">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0269C5" w:rsidRDefault="000269C5">
      <w:pPr>
        <w:pStyle w:val="ConsPlusNormal"/>
        <w:spacing w:before="220"/>
        <w:ind w:firstLine="540"/>
        <w:jc w:val="both"/>
      </w:pPr>
      <w:r>
        <w:t>--------------------------------</w:t>
      </w:r>
    </w:p>
    <w:p w:rsidR="000269C5" w:rsidRDefault="000269C5">
      <w:pPr>
        <w:pStyle w:val="ConsPlusNormal"/>
        <w:spacing w:before="220"/>
        <w:ind w:firstLine="540"/>
        <w:jc w:val="both"/>
      </w:pPr>
      <w:r>
        <w:t xml:space="preserve">&lt;1&gt; </w:t>
      </w:r>
      <w:hyperlink r:id="rId14">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0269C5" w:rsidRDefault="000269C5">
      <w:pPr>
        <w:pStyle w:val="ConsPlusNormal"/>
        <w:jc w:val="both"/>
      </w:pPr>
    </w:p>
    <w:p w:rsidR="000269C5" w:rsidRDefault="000269C5">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0269C5" w:rsidRDefault="000269C5">
      <w:pPr>
        <w:pStyle w:val="ConsPlusNormal"/>
        <w:jc w:val="both"/>
      </w:pPr>
    </w:p>
    <w:p w:rsidR="000269C5" w:rsidRDefault="000269C5">
      <w:pPr>
        <w:pStyle w:val="ConsPlusNormal"/>
        <w:ind w:firstLine="540"/>
        <w:jc w:val="both"/>
        <w:outlineLvl w:val="2"/>
      </w:pPr>
      <w:r>
        <w:t>7.2. Требования к кадровым условиям реализации программ ординатуры.</w:t>
      </w:r>
    </w:p>
    <w:p w:rsidR="000269C5" w:rsidRDefault="000269C5">
      <w:pPr>
        <w:pStyle w:val="ConsPlusNormal"/>
        <w:spacing w:before="220"/>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0269C5" w:rsidRDefault="000269C5">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0269C5" w:rsidRDefault="000269C5">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0269C5" w:rsidRDefault="000269C5">
      <w:pPr>
        <w:pStyle w:val="ConsPlusNormal"/>
        <w:spacing w:before="220"/>
        <w:ind w:firstLine="540"/>
        <w:jc w:val="both"/>
      </w:pPr>
      <w:r>
        <w:t xml:space="preserve">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w:t>
      </w:r>
      <w:r>
        <w:lastRenderedPageBreak/>
        <w:t>(спецификой)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0269C5" w:rsidRDefault="000269C5">
      <w:pPr>
        <w:pStyle w:val="ConsPlusNormal"/>
        <w:jc w:val="both"/>
      </w:pPr>
    </w:p>
    <w:p w:rsidR="000269C5" w:rsidRDefault="000269C5">
      <w:pPr>
        <w:pStyle w:val="ConsPlusNormal"/>
        <w:ind w:firstLine="540"/>
        <w:jc w:val="both"/>
        <w:outlineLvl w:val="2"/>
      </w:pPr>
      <w:r>
        <w:t>7.3. Требования к материально-техническому и учебно-методическому обеспечению программы ординатуры.</w:t>
      </w:r>
    </w:p>
    <w:p w:rsidR="000269C5" w:rsidRDefault="000269C5">
      <w:pPr>
        <w:pStyle w:val="ConsPlusNormal"/>
        <w:spacing w:before="220"/>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0269C5" w:rsidRDefault="000269C5">
      <w:pPr>
        <w:pStyle w:val="ConsPlusNormal"/>
        <w:spacing w:before="220"/>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0269C5" w:rsidRDefault="000269C5">
      <w:pPr>
        <w:pStyle w:val="ConsPlusNormal"/>
        <w:spacing w:before="220"/>
        <w:ind w:firstLine="540"/>
        <w:jc w:val="both"/>
      </w:pPr>
      <w:r>
        <w:t>лаборатории, оснащенные специализированным оборудованием (микроскоп, термостат, автоклав, наборы химической посуды, массоизмерительное оборудование, гомогенизатор, центрифуга, сушильный шкаф, анализатор нитратов и нитритов, бокс-штатив, груша резиновая, дейонизатор, диспенсор, дистиллятор, дозатор с наконечниками, pH-метр, мерная пипетка, морозильник, пипетка Пастеровская, планшет для микротитрования, питательные среды, необходимые для культивирования микроорганизмов, принадлежность для забора биоматериала и смывов с поверхности, спектрофотометр, фотоэлектроколориметр, холодильник, чашка Петри, шейкер, шпатель и петли микробиологические)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необходимое оборудование для реализации программы ординатуры.</w:t>
      </w:r>
    </w:p>
    <w:p w:rsidR="000269C5" w:rsidRDefault="000269C5">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0269C5" w:rsidRDefault="000269C5">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0269C5" w:rsidRDefault="000269C5">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0269C5" w:rsidRDefault="000269C5">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0269C5" w:rsidRDefault="000269C5">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0269C5" w:rsidRDefault="000269C5">
      <w:pPr>
        <w:pStyle w:val="ConsPlusNormal"/>
        <w:spacing w:before="220"/>
        <w:ind w:firstLine="540"/>
        <w:jc w:val="both"/>
      </w:pPr>
      <w:r>
        <w:t xml:space="preserve">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w:t>
      </w:r>
      <w:r>
        <w:lastRenderedPageBreak/>
        <w:t>состав которых определяется в рабочих программах дисциплин (модулей) и подлежит ежегодному обновлению.</w:t>
      </w:r>
    </w:p>
    <w:p w:rsidR="000269C5" w:rsidRDefault="000269C5">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0269C5" w:rsidRDefault="000269C5">
      <w:pPr>
        <w:pStyle w:val="ConsPlusNormal"/>
        <w:jc w:val="both"/>
      </w:pPr>
    </w:p>
    <w:p w:rsidR="000269C5" w:rsidRDefault="000269C5">
      <w:pPr>
        <w:pStyle w:val="ConsPlusNormal"/>
        <w:ind w:firstLine="540"/>
        <w:jc w:val="both"/>
        <w:outlineLvl w:val="2"/>
      </w:pPr>
      <w:r>
        <w:t>7.4. Требования к финансовым условиям реализации программы ординатуры.</w:t>
      </w:r>
    </w:p>
    <w:p w:rsidR="000269C5" w:rsidRDefault="000269C5">
      <w:pPr>
        <w:pStyle w:val="ConsPlusNormal"/>
        <w:spacing w:before="220"/>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5">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0269C5" w:rsidRDefault="000269C5">
      <w:pPr>
        <w:pStyle w:val="ConsPlusNormal"/>
        <w:jc w:val="both"/>
      </w:pPr>
    </w:p>
    <w:p w:rsidR="000269C5" w:rsidRDefault="000269C5">
      <w:pPr>
        <w:pStyle w:val="ConsPlusNormal"/>
        <w:jc w:val="both"/>
      </w:pPr>
    </w:p>
    <w:p w:rsidR="000269C5" w:rsidRDefault="000269C5">
      <w:pPr>
        <w:pStyle w:val="ConsPlusNormal"/>
        <w:pBdr>
          <w:bottom w:val="single" w:sz="6" w:space="0" w:color="auto"/>
        </w:pBdr>
        <w:spacing w:before="100" w:after="100"/>
        <w:jc w:val="both"/>
        <w:rPr>
          <w:sz w:val="2"/>
          <w:szCs w:val="2"/>
        </w:rPr>
      </w:pPr>
    </w:p>
    <w:p w:rsidR="00160CB8" w:rsidRDefault="00160CB8">
      <w:bookmarkStart w:id="1" w:name="_GoBack"/>
      <w:bookmarkEnd w:id="1"/>
    </w:p>
    <w:sectPr w:rsidR="00160CB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C5"/>
    <w:rsid w:val="000269C5"/>
    <w:rsid w:val="00160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69C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269C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269C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69C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269C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269C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6588&amp;dst=101099" TargetMode="External"/><Relationship Id="rId13" Type="http://schemas.openxmlformats.org/officeDocument/2006/relationships/hyperlink" Target="https://login.consultant.ru/link/?req=doc&amp;base=LAW&amp;n=440481&amp;dst=100010" TargetMode="External"/><Relationship Id="rId3" Type="http://schemas.openxmlformats.org/officeDocument/2006/relationships/settings" Target="settings.xml"/><Relationship Id="rId7" Type="http://schemas.openxmlformats.org/officeDocument/2006/relationships/hyperlink" Target="https://login.consultant.ru/link/?req=doc&amp;base=LAW&amp;n=154176&amp;dst=100009" TargetMode="External"/><Relationship Id="rId12" Type="http://schemas.openxmlformats.org/officeDocument/2006/relationships/hyperlink" Target="https://login.consultant.ru/link/?req=doc&amp;base=LAW&amp;n=439201"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287618&amp;dst=100042" TargetMode="External"/><Relationship Id="rId11" Type="http://schemas.openxmlformats.org/officeDocument/2006/relationships/hyperlink" Target="https://login.consultant.ru/link/?req=doc&amp;base=LAW&amp;n=464157"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152100&amp;dst=100012" TargetMode="External"/><Relationship Id="rId10" Type="http://schemas.openxmlformats.org/officeDocument/2006/relationships/hyperlink" Target="https://login.consultant.ru/link/?req=doc&amp;base=LAW&amp;n=348537"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6588&amp;dst=101100" TargetMode="External"/><Relationship Id="rId14" Type="http://schemas.openxmlformats.org/officeDocument/2006/relationships/hyperlink" Target="https://login.consultant.ru/link/?req=doc&amp;base=LAW&amp;n=1287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4117</Words>
  <Characters>23467</Characters>
  <Application>Microsoft Office Word</Application>
  <DocSecurity>0</DocSecurity>
  <Lines>195</Lines>
  <Paragraphs>55</Paragraphs>
  <ScaleCrop>false</ScaleCrop>
  <Company/>
  <LinksUpToDate>false</LinksUpToDate>
  <CharactersWithSpaces>27529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2024-04-25T10:54:00Z</dcterms:created>
  <dcterms:modified xsi:type="dcterms:W3CDTF">2024-04-25T10:54:00Z</dcterms:modified>
</cp:coreProperties>
</file>