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3" w:rsidRPr="00A32B8C" w:rsidRDefault="00484AC3" w:rsidP="00CE1ADB">
      <w:pPr>
        <w:jc w:val="center"/>
        <w:rPr>
          <w:sz w:val="22"/>
          <w:szCs w:val="22"/>
        </w:rPr>
      </w:pPr>
      <w:bookmarkStart w:id="0" w:name="_GoBack"/>
      <w:bookmarkEnd w:id="0"/>
      <w:r w:rsidRPr="00A32B8C">
        <w:rPr>
          <w:sz w:val="22"/>
          <w:szCs w:val="22"/>
        </w:rPr>
        <w:t>Министерство здравоохранения Российской Федерации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</w:pPr>
    </w:p>
    <w:p w:rsidR="00484AC3" w:rsidRPr="00193728" w:rsidRDefault="00484AC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484AC3" w:rsidRPr="00193728" w:rsidRDefault="00484AC3" w:rsidP="00193728">
      <w:pPr>
        <w:jc w:val="center"/>
        <w:rPr>
          <w:b/>
          <w:sz w:val="24"/>
          <w:szCs w:val="24"/>
          <w:lang w:eastAsia="en-US"/>
        </w:rPr>
      </w:pPr>
      <w:r w:rsidRPr="00193728">
        <w:rPr>
          <w:b/>
          <w:bCs/>
          <w:spacing w:val="-1"/>
          <w:sz w:val="24"/>
          <w:szCs w:val="24"/>
        </w:rPr>
        <w:t>повышения квалификации</w:t>
      </w:r>
      <w:r w:rsidRPr="00193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93728">
        <w:rPr>
          <w:b/>
          <w:sz w:val="24"/>
          <w:szCs w:val="24"/>
        </w:rPr>
        <w:t>Актуальные вопросы питания и нутриционной поддержки при заболеваниях желудочно-кишечного тракта</w:t>
      </w:r>
      <w:r w:rsidRPr="00193728">
        <w:rPr>
          <w:b/>
          <w:sz w:val="24"/>
          <w:szCs w:val="24"/>
          <w:lang w:eastAsia="en-US"/>
        </w:rPr>
        <w:t>»</w:t>
      </w:r>
    </w:p>
    <w:p w:rsidR="00484AC3" w:rsidRPr="00193728" w:rsidRDefault="00484AC3" w:rsidP="002E3B0B">
      <w:pPr>
        <w:jc w:val="center"/>
        <w:rPr>
          <w:b/>
          <w:sz w:val="24"/>
          <w:szCs w:val="24"/>
        </w:rPr>
      </w:pPr>
    </w:p>
    <w:p w:rsidR="00484AC3" w:rsidRDefault="00484AC3" w:rsidP="002E3B0B">
      <w:pPr>
        <w:jc w:val="center"/>
        <w:rPr>
          <w:b/>
          <w:sz w:val="24"/>
          <w:szCs w:val="24"/>
        </w:rPr>
      </w:pPr>
    </w:p>
    <w:p w:rsidR="00484AC3" w:rsidRPr="000B13D5" w:rsidRDefault="00484AC3" w:rsidP="000B13D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NewRomanPSMT"/>
          <w:sz w:val="24"/>
          <w:szCs w:val="24"/>
          <w:lang w:eastAsia="en-US"/>
        </w:rPr>
      </w:pPr>
      <w:r w:rsidRPr="000B13D5">
        <w:rPr>
          <w:b/>
          <w:bCs/>
          <w:sz w:val="24"/>
          <w:szCs w:val="24"/>
        </w:rPr>
        <w:t xml:space="preserve">Цель реализации: </w:t>
      </w:r>
      <w:r w:rsidRPr="000B13D5">
        <w:rPr>
          <w:bCs/>
          <w:sz w:val="24"/>
          <w:szCs w:val="24"/>
        </w:rPr>
        <w:t>п</w:t>
      </w:r>
      <w:r w:rsidRPr="000B13D5">
        <w:rPr>
          <w:rFonts w:eastAsia="TimesNewRomanPSMT"/>
          <w:sz w:val="24"/>
          <w:szCs w:val="24"/>
          <w:lang w:eastAsia="en-US"/>
        </w:rPr>
        <w:t xml:space="preserve">одготовка квалифицированного специалиста,  совершенствующего универсальные и профессиональные компетенции, способного и готового для самостоятельной профессиональной деятельности в условиях оказания первичной медико-санитарной помощи и специализированной, в том числе высокотехнологичной, медицинской помощи пациентам с заболеваниями желудочно-кишечного тракта. </w:t>
      </w:r>
    </w:p>
    <w:p w:rsidR="00484AC3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освоения: </w:t>
      </w:r>
      <w:r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недели – 72 часа </w:t>
      </w:r>
    </w:p>
    <w:p w:rsidR="00484AC3" w:rsidRPr="007872E5" w:rsidRDefault="00484AC3" w:rsidP="00FA537C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="00822F1E">
        <w:rPr>
          <w:spacing w:val="-2"/>
          <w:sz w:val="24"/>
          <w:szCs w:val="24"/>
        </w:rPr>
        <w:t>а</w:t>
      </w:r>
      <w:r w:rsidRPr="00C157B9">
        <w:rPr>
          <w:spacing w:val="-2"/>
          <w:sz w:val="24"/>
          <w:szCs w:val="24"/>
        </w:rPr>
        <w:t>я</w:t>
      </w:r>
      <w:r>
        <w:rPr>
          <w:spacing w:val="-2"/>
          <w:sz w:val="24"/>
          <w:szCs w:val="24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484AC3" w:rsidRPr="000B13D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Style w:val="a5"/>
          <w:bCs w:val="0"/>
          <w:color w:val="000000"/>
          <w:sz w:val="24"/>
          <w:szCs w:val="24"/>
        </w:rPr>
      </w:pPr>
      <w:r w:rsidRPr="007F617A">
        <w:rPr>
          <w:b/>
          <w:bCs/>
          <w:spacing w:val="-2"/>
          <w:sz w:val="24"/>
          <w:szCs w:val="24"/>
        </w:rPr>
        <w:t xml:space="preserve">Категория слушателей: </w:t>
      </w:r>
      <w:r w:rsidRPr="007F617A">
        <w:rPr>
          <w:spacing w:val="-2"/>
          <w:sz w:val="24"/>
          <w:szCs w:val="24"/>
        </w:rPr>
        <w:t xml:space="preserve">врачи </w:t>
      </w:r>
      <w:r>
        <w:rPr>
          <w:spacing w:val="-2"/>
          <w:sz w:val="24"/>
          <w:szCs w:val="24"/>
        </w:rPr>
        <w:t xml:space="preserve">специальностей – </w:t>
      </w:r>
      <w:r w:rsidRPr="007F617A">
        <w:rPr>
          <w:spacing w:val="-2"/>
          <w:sz w:val="24"/>
          <w:szCs w:val="24"/>
        </w:rPr>
        <w:t>общ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врачебная </w:t>
      </w:r>
      <w:r w:rsidRPr="007F617A">
        <w:rPr>
          <w:spacing w:val="-2"/>
          <w:sz w:val="24"/>
          <w:szCs w:val="24"/>
        </w:rPr>
        <w:t>практик</w:t>
      </w:r>
      <w:r>
        <w:rPr>
          <w:spacing w:val="-2"/>
          <w:sz w:val="24"/>
          <w:szCs w:val="24"/>
        </w:rPr>
        <w:t>а</w:t>
      </w:r>
      <w:r w:rsidRPr="007F617A">
        <w:rPr>
          <w:spacing w:val="-2"/>
          <w:sz w:val="24"/>
          <w:szCs w:val="24"/>
        </w:rPr>
        <w:t xml:space="preserve"> (семейн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медицина</w:t>
      </w:r>
      <w:r w:rsidRPr="007F617A">
        <w:rPr>
          <w:spacing w:val="-2"/>
          <w:sz w:val="24"/>
          <w:szCs w:val="24"/>
        </w:rPr>
        <w:t>), терап</w:t>
      </w:r>
      <w:r>
        <w:rPr>
          <w:spacing w:val="-2"/>
          <w:sz w:val="24"/>
          <w:szCs w:val="24"/>
        </w:rPr>
        <w:t>ия</w:t>
      </w:r>
      <w:r w:rsidRPr="007F617A">
        <w:rPr>
          <w:spacing w:val="-2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диетология, </w:t>
      </w:r>
      <w:r w:rsidRPr="002D7155">
        <w:rPr>
          <w:sz w:val="24"/>
          <w:szCs w:val="24"/>
        </w:rPr>
        <w:t>гериатрия,</w:t>
      </w:r>
      <w:r>
        <w:rPr>
          <w:sz w:val="24"/>
          <w:szCs w:val="24"/>
        </w:rPr>
        <w:t xml:space="preserve"> </w:t>
      </w:r>
      <w:r w:rsidRPr="007F617A">
        <w:rPr>
          <w:rStyle w:val="a5"/>
          <w:b w:val="0"/>
          <w:sz w:val="24"/>
          <w:szCs w:val="24"/>
        </w:rPr>
        <w:t>гастроэнтерологи</w:t>
      </w:r>
      <w:r>
        <w:rPr>
          <w:rStyle w:val="a5"/>
          <w:b w:val="0"/>
          <w:sz w:val="24"/>
          <w:szCs w:val="24"/>
        </w:rPr>
        <w:t xml:space="preserve">я, </w:t>
      </w:r>
      <w:r w:rsidRPr="007F617A">
        <w:rPr>
          <w:rStyle w:val="a5"/>
          <w:b w:val="0"/>
          <w:sz w:val="24"/>
          <w:szCs w:val="24"/>
        </w:rPr>
        <w:t>лечебное дело, хирурги</w:t>
      </w:r>
      <w:r>
        <w:rPr>
          <w:rStyle w:val="a5"/>
          <w:b w:val="0"/>
          <w:sz w:val="24"/>
          <w:szCs w:val="24"/>
        </w:rPr>
        <w:t>я</w:t>
      </w:r>
    </w:p>
    <w:p w:rsidR="00484AC3" w:rsidRPr="007F617A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7F617A">
        <w:rPr>
          <w:b/>
          <w:bCs/>
          <w:sz w:val="24"/>
          <w:szCs w:val="24"/>
        </w:rPr>
        <w:t xml:space="preserve">Форма итоговой аттестации: </w:t>
      </w:r>
      <w:r>
        <w:rPr>
          <w:sz w:val="24"/>
          <w:szCs w:val="24"/>
        </w:rPr>
        <w:t>экзамен</w:t>
      </w:r>
    </w:p>
    <w:p w:rsidR="00484AC3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>
        <w:rPr>
          <w:spacing w:val="-2"/>
          <w:sz w:val="24"/>
          <w:szCs w:val="24"/>
        </w:rPr>
        <w:t xml:space="preserve">лицам, успешно освоившим дополнительную профессиональную </w:t>
      </w:r>
      <w:r>
        <w:rPr>
          <w:sz w:val="24"/>
          <w:szCs w:val="24"/>
        </w:rPr>
        <w:t>программу повышения квалификации и сдавшим экзамен, выдается удостоверение о прохождении цикла</w:t>
      </w:r>
    </w:p>
    <w:p w:rsidR="00484AC3" w:rsidRPr="003D6D0F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3763"/>
        <w:gridCol w:w="708"/>
        <w:gridCol w:w="567"/>
        <w:gridCol w:w="709"/>
        <w:gridCol w:w="417"/>
        <w:gridCol w:w="717"/>
        <w:gridCol w:w="567"/>
        <w:gridCol w:w="709"/>
        <w:gridCol w:w="709"/>
      </w:tblGrid>
      <w:tr w:rsidR="00484AC3" w:rsidRPr="003D091B" w:rsidTr="000766F1">
        <w:trPr>
          <w:trHeight w:val="283"/>
        </w:trPr>
        <w:tc>
          <w:tcPr>
            <w:tcW w:w="740" w:type="dxa"/>
            <w:vMerge w:val="restart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№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val="en-US" w:eastAsia="en-US"/>
              </w:rPr>
              <w:t>n</w:t>
            </w:r>
            <w:r w:rsidRPr="003D091B">
              <w:rPr>
                <w:b/>
                <w:lang w:eastAsia="en-US"/>
              </w:rPr>
              <w:t>\</w:t>
            </w:r>
            <w:r w:rsidRPr="003D091B">
              <w:rPr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Трудоёмкость</w:t>
            </w:r>
          </w:p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4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 xml:space="preserve"> дот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Форма контроля</w:t>
            </w:r>
          </w:p>
        </w:tc>
      </w:tr>
      <w:tr w:rsidR="00484AC3" w:rsidRPr="003D091B" w:rsidTr="000766F1">
        <w:trPr>
          <w:cantSplit/>
          <w:trHeight w:val="526"/>
        </w:trPr>
        <w:tc>
          <w:tcPr>
            <w:tcW w:w="740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Лекции</w:t>
            </w:r>
          </w:p>
        </w:tc>
        <w:tc>
          <w:tcPr>
            <w:tcW w:w="1843" w:type="dxa"/>
            <w:gridSpan w:val="3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484AC3" w:rsidRPr="003D091B" w:rsidTr="000766F1">
        <w:trPr>
          <w:cantSplit/>
          <w:trHeight w:val="1457"/>
        </w:trPr>
        <w:tc>
          <w:tcPr>
            <w:tcW w:w="740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Практика/ семинар</w:t>
            </w:r>
          </w:p>
        </w:tc>
        <w:tc>
          <w:tcPr>
            <w:tcW w:w="417" w:type="dxa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СК</w:t>
            </w:r>
          </w:p>
        </w:tc>
        <w:tc>
          <w:tcPr>
            <w:tcW w:w="717" w:type="dxa"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vMerge/>
            <w:textDirection w:val="btL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AC3" w:rsidRPr="003D091B" w:rsidRDefault="00484AC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b/>
                <w:lang w:val="en-US" w:eastAsia="en-US"/>
              </w:rPr>
              <w:t>1</w:t>
            </w:r>
            <w:r w:rsidRPr="003D091B">
              <w:rPr>
                <w:b/>
                <w:lang w:eastAsia="en-US"/>
              </w:rPr>
              <w:t>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jc w:val="both"/>
              <w:rPr>
                <w:lang w:eastAsia="en-US"/>
              </w:rPr>
            </w:pPr>
            <w:r w:rsidRPr="003D091B">
              <w:rPr>
                <w:b/>
                <w:lang w:eastAsia="en-US"/>
              </w:rPr>
              <w:t>Рабочая программа учебного модуля 1 «</w:t>
            </w:r>
            <w:r w:rsidRPr="003D091B">
              <w:rPr>
                <w:b/>
                <w:color w:val="000000"/>
              </w:rPr>
              <w:t>Болезни пищевода, желудка, ДПК и диетотерапия</w:t>
            </w:r>
            <w:r w:rsidRPr="003D091B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12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П/А</w:t>
            </w:r>
          </w:p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1.1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Болезни пищевода, желудка и двена</w:t>
            </w:r>
            <w:r w:rsidRPr="003D091B">
              <w:rPr>
                <w:color w:val="000000"/>
              </w:rPr>
              <w:softHyphen/>
              <w:t>дцатиперстной кишки и диетотера</w:t>
            </w:r>
            <w:r w:rsidRPr="003D091B">
              <w:rPr>
                <w:color w:val="000000"/>
              </w:rPr>
              <w:softHyphen/>
              <w:t>пия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1.2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Функциональные заболевания желудка и двенадцатиперстной кишки; этиоло</w:t>
            </w:r>
            <w:r w:rsidRPr="003D091B">
              <w:rPr>
                <w:color w:val="000000"/>
              </w:rPr>
              <w:softHyphen/>
              <w:t>гия, патогенез, классификация, принци</w:t>
            </w:r>
            <w:r w:rsidRPr="003D091B">
              <w:rPr>
                <w:color w:val="000000"/>
              </w:rPr>
              <w:softHyphen/>
              <w:t>пы диагностики, диетотерапия, принци</w:t>
            </w:r>
            <w:r w:rsidRPr="003D091B">
              <w:rPr>
                <w:color w:val="000000"/>
              </w:rPr>
              <w:softHyphen/>
              <w:t xml:space="preserve">пы медикаментозной 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1.3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Острый гастрит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1.4.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Хронический гастрит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4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1.5.</w:t>
            </w:r>
          </w:p>
        </w:tc>
        <w:tc>
          <w:tcPr>
            <w:tcW w:w="3763" w:type="dxa"/>
          </w:tcPr>
          <w:p w:rsidR="00484AC3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Язвенная болезнь желудка и двенадца</w:t>
            </w:r>
            <w:r w:rsidRPr="003D091B">
              <w:rPr>
                <w:color w:val="000000"/>
              </w:rPr>
              <w:softHyphen/>
              <w:t>типерстной кишки</w:t>
            </w:r>
          </w:p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4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jc w:val="both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Рабочая программа учебного модуля 2 «</w:t>
            </w:r>
            <w:r w:rsidRPr="003D091B">
              <w:rPr>
                <w:b/>
                <w:color w:val="000000"/>
              </w:rPr>
              <w:t>Болезни тонкой и толстой кишки, диетотерапия</w:t>
            </w:r>
            <w:r w:rsidRPr="003D091B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16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П/А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484AC3" w:rsidRPr="003D091B" w:rsidTr="000766F1">
        <w:trPr>
          <w:trHeight w:val="348"/>
        </w:trPr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2.1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Анатомо-физиологические   особенности функции тонкой кишки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2.2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Микробиота кишечника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5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2.3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Преморбидные состояния (функцио</w:t>
            </w:r>
            <w:r w:rsidRPr="003D091B">
              <w:rPr>
                <w:color w:val="000000"/>
              </w:rPr>
              <w:softHyphen/>
              <w:t>нальные расстройства), классификация, принципы диагностики, медика</w:t>
            </w:r>
            <w:r w:rsidRPr="003D091B">
              <w:rPr>
                <w:color w:val="000000"/>
              </w:rPr>
              <w:softHyphen/>
              <w:t>ментозная терапия, диетотерапия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5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2.4.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rPr>
                <w:b/>
                <w:lang w:eastAsia="en-US"/>
              </w:rPr>
            </w:pPr>
            <w:r w:rsidRPr="003D091B">
              <w:rPr>
                <w:color w:val="000000"/>
                <w:spacing w:val="-4"/>
              </w:rPr>
              <w:t>Хронические  заболевания   кишечника (хронический энтерит, хронический колит)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5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rPr>
                <w:b/>
                <w:spacing w:val="-4"/>
                <w:lang w:eastAsia="en-US"/>
              </w:rPr>
            </w:pPr>
            <w:r w:rsidRPr="003D091B">
              <w:rPr>
                <w:b/>
                <w:spacing w:val="-4"/>
                <w:lang w:eastAsia="en-US"/>
              </w:rPr>
              <w:t>Рабочая программа учебного модуля 3 «</w:t>
            </w:r>
            <w:r w:rsidRPr="003D091B">
              <w:rPr>
                <w:b/>
                <w:color w:val="000000"/>
                <w:spacing w:val="-4"/>
              </w:rPr>
              <w:t>Болезни печени, желчного пузыря, желчевыводящих путей, диетотерапия</w:t>
            </w:r>
            <w:r w:rsidRPr="003D091B">
              <w:rPr>
                <w:b/>
                <w:spacing w:val="-4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П/А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3.1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Анатомо-физиологические особенно</w:t>
            </w:r>
            <w:r w:rsidRPr="003D091B">
              <w:rPr>
                <w:color w:val="000000"/>
              </w:rPr>
              <w:softHyphen/>
              <w:t>сти печени, желчного пузыря и желче</w:t>
            </w:r>
            <w:r w:rsidRPr="003D091B">
              <w:rPr>
                <w:color w:val="000000"/>
              </w:rPr>
              <w:softHyphen/>
              <w:t>выводящих путей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3.2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ind w:right="-57"/>
            </w:pPr>
            <w:r w:rsidRPr="003D091B">
              <w:rPr>
                <w:color w:val="000000"/>
              </w:rPr>
              <w:t>Преморбидные состояния. Доброкачественная гипербилирубинемия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3.3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Хронический гепатит и цирроз печени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3.4.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Неалкогольная жировая болезнь печени: этиология, патогенез, диагностика, меди</w:t>
            </w:r>
            <w:r w:rsidRPr="003D091B">
              <w:rPr>
                <w:color w:val="000000"/>
              </w:rPr>
              <w:softHyphen/>
              <w:t>каментозная терапия  и диетоте</w:t>
            </w:r>
            <w:r w:rsidRPr="003D091B">
              <w:rPr>
                <w:color w:val="000000"/>
              </w:rPr>
              <w:softHyphen/>
              <w:t>рапия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3.5.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Преморбидные состояния (дискинезии) желчного пузыря и желчевыводящих путей; этиология, патогенез, классифи</w:t>
            </w:r>
            <w:r w:rsidRPr="003D091B">
              <w:rPr>
                <w:color w:val="000000"/>
              </w:rPr>
              <w:softHyphen/>
              <w:t>кация,  принципы диагностики, меди</w:t>
            </w:r>
            <w:r w:rsidRPr="003D091B">
              <w:rPr>
                <w:color w:val="000000"/>
              </w:rPr>
              <w:softHyphen/>
              <w:t>каментозной терапии и диетоте</w:t>
            </w:r>
            <w:r w:rsidRPr="003D091B">
              <w:rPr>
                <w:color w:val="000000"/>
              </w:rPr>
              <w:softHyphen/>
              <w:t xml:space="preserve">рапии 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3.6.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</w:pPr>
            <w:r w:rsidRPr="003D091B">
              <w:rPr>
                <w:color w:val="000000"/>
              </w:rPr>
              <w:t>Хронический холецистит. Постхолецистэктомический синдром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4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b/>
                <w:lang w:eastAsia="en-US"/>
              </w:rPr>
              <w:t>Рабочая программа учебного модуля 4 «</w:t>
            </w:r>
            <w:r w:rsidRPr="003D091B">
              <w:rPr>
                <w:b/>
                <w:color w:val="000000"/>
              </w:rPr>
              <w:t>Болезни поджелудочной железы, диетотерапия</w:t>
            </w:r>
            <w:r w:rsidRPr="003D091B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6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П/А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4.1.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Анатомо-физиологические    особенности поджелудочной железы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4.2.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Преморбидные состояния (диспанкреатизм). Этиология, патогенез, принци</w:t>
            </w:r>
            <w:r w:rsidRPr="003D091B">
              <w:rPr>
                <w:color w:val="000000"/>
              </w:rPr>
              <w:softHyphen/>
              <w:t>пы диагностики, медикаментозной те</w:t>
            </w:r>
            <w:r w:rsidRPr="003D091B">
              <w:rPr>
                <w:color w:val="000000"/>
              </w:rPr>
              <w:softHyphen/>
              <w:t>рапии, диетотерапии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4.3.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Острый панкреатит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740" w:type="dxa"/>
          </w:tcPr>
          <w:p w:rsidR="00484AC3" w:rsidRPr="003D091B" w:rsidRDefault="00484AC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3D091B">
              <w:rPr>
                <w:color w:val="000000"/>
              </w:rPr>
              <w:t>4.4.</w:t>
            </w:r>
          </w:p>
        </w:tc>
        <w:tc>
          <w:tcPr>
            <w:tcW w:w="3763" w:type="dxa"/>
          </w:tcPr>
          <w:p w:rsidR="00484AC3" w:rsidRPr="003D091B" w:rsidRDefault="00484AC3" w:rsidP="000766F1">
            <w:pPr>
              <w:shd w:val="clear" w:color="auto" w:fill="FFFFFF"/>
              <w:rPr>
                <w:color w:val="000000"/>
              </w:rPr>
            </w:pPr>
            <w:r w:rsidRPr="003D091B">
              <w:rPr>
                <w:color w:val="000000"/>
              </w:rPr>
              <w:t>Хронический панкреатит</w:t>
            </w:r>
          </w:p>
        </w:tc>
        <w:tc>
          <w:tcPr>
            <w:tcW w:w="708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</w:t>
            </w:r>
          </w:p>
        </w:tc>
        <w:tc>
          <w:tcPr>
            <w:tcW w:w="4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84AC3" w:rsidRPr="003D091B" w:rsidRDefault="00484AC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484AC3" w:rsidRPr="003D091B" w:rsidTr="000766F1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Э</w:t>
            </w:r>
          </w:p>
        </w:tc>
      </w:tr>
      <w:tr w:rsidR="00484AC3" w:rsidRPr="003D091B" w:rsidTr="000766F1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52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4AC3" w:rsidRPr="003D091B" w:rsidRDefault="00484AC3" w:rsidP="000766F1">
            <w:pPr>
              <w:jc w:val="center"/>
              <w:rPr>
                <w:b/>
                <w:lang w:eastAsia="en-US"/>
              </w:rPr>
            </w:pPr>
          </w:p>
        </w:tc>
      </w:tr>
    </w:tbl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Pr="000B13D5" w:rsidRDefault="00484AC3" w:rsidP="003D6D0F">
      <w:p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</w:p>
    <w:p w:rsidR="00484AC3" w:rsidRDefault="00A57E58" w:rsidP="00CA14AF">
      <w:pPr>
        <w:shd w:val="clear" w:color="auto" w:fill="FFFFFF"/>
        <w:tabs>
          <w:tab w:val="left" w:pos="4056"/>
          <w:tab w:val="left" w:pos="6758"/>
        </w:tabs>
        <w:rPr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914400" cy="5283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C3" w:rsidRDefault="00484AC3" w:rsidP="00CA14A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Pr="005660A0">
        <w:rPr>
          <w:rFonts w:ascii="Arial" w:hAns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Заика Галина Ефимовна</w:t>
      </w:r>
    </w:p>
    <w:p w:rsidR="00484AC3" w:rsidRDefault="00484AC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484AC3" w:rsidRPr="007A720D" w:rsidRDefault="00484AC3" w:rsidP="00593694">
      <w:pPr>
        <w:pStyle w:val="a4"/>
        <w:spacing w:before="0" w:beforeAutospacing="0" w:after="0" w:afterAutospacing="0"/>
      </w:pPr>
    </w:p>
    <w:sectPr w:rsidR="00484AC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4" w:rsidRDefault="005A7264" w:rsidP="000B13D5">
      <w:r>
        <w:separator/>
      </w:r>
    </w:p>
  </w:endnote>
  <w:endnote w:type="continuationSeparator" w:id="0">
    <w:p w:rsidR="005A7264" w:rsidRDefault="005A7264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4" w:rsidRDefault="005A7264" w:rsidP="000B13D5">
      <w:r>
        <w:separator/>
      </w:r>
    </w:p>
  </w:footnote>
  <w:footnote w:type="continuationSeparator" w:id="0">
    <w:p w:rsidR="005A7264" w:rsidRDefault="005A7264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3"/>
    <w:rsid w:val="000766F1"/>
    <w:rsid w:val="000A0220"/>
    <w:rsid w:val="000B13D5"/>
    <w:rsid w:val="000C1729"/>
    <w:rsid w:val="000E3528"/>
    <w:rsid w:val="001764D5"/>
    <w:rsid w:val="00184AC0"/>
    <w:rsid w:val="00193728"/>
    <w:rsid w:val="001E062D"/>
    <w:rsid w:val="00214705"/>
    <w:rsid w:val="00242063"/>
    <w:rsid w:val="00254E2D"/>
    <w:rsid w:val="0028777C"/>
    <w:rsid w:val="002D7155"/>
    <w:rsid w:val="002D7B3B"/>
    <w:rsid w:val="002E3B0B"/>
    <w:rsid w:val="002F4ED5"/>
    <w:rsid w:val="00352110"/>
    <w:rsid w:val="003C6F97"/>
    <w:rsid w:val="003D091B"/>
    <w:rsid w:val="003D6D0F"/>
    <w:rsid w:val="003F3BE1"/>
    <w:rsid w:val="00484AC3"/>
    <w:rsid w:val="004C5FEC"/>
    <w:rsid w:val="00525066"/>
    <w:rsid w:val="005660A0"/>
    <w:rsid w:val="00593694"/>
    <w:rsid w:val="005A1520"/>
    <w:rsid w:val="005A7264"/>
    <w:rsid w:val="006149F5"/>
    <w:rsid w:val="00615298"/>
    <w:rsid w:val="006E0173"/>
    <w:rsid w:val="006E544B"/>
    <w:rsid w:val="006F0A7A"/>
    <w:rsid w:val="00735183"/>
    <w:rsid w:val="00750CBA"/>
    <w:rsid w:val="007867B0"/>
    <w:rsid w:val="007872E5"/>
    <w:rsid w:val="007A720D"/>
    <w:rsid w:val="007E0D7A"/>
    <w:rsid w:val="007F617A"/>
    <w:rsid w:val="00822F1E"/>
    <w:rsid w:val="00895908"/>
    <w:rsid w:val="00905D93"/>
    <w:rsid w:val="00926348"/>
    <w:rsid w:val="0094736F"/>
    <w:rsid w:val="009A5E82"/>
    <w:rsid w:val="00A05582"/>
    <w:rsid w:val="00A12AB1"/>
    <w:rsid w:val="00A32B8C"/>
    <w:rsid w:val="00A36A64"/>
    <w:rsid w:val="00A57E58"/>
    <w:rsid w:val="00BF670C"/>
    <w:rsid w:val="00C157B9"/>
    <w:rsid w:val="00CA14AF"/>
    <w:rsid w:val="00CC5ED4"/>
    <w:rsid w:val="00CE1ADB"/>
    <w:rsid w:val="00D80ABA"/>
    <w:rsid w:val="00DA783D"/>
    <w:rsid w:val="00EA4E2A"/>
    <w:rsid w:val="00EF12CA"/>
    <w:rsid w:val="00F13C5E"/>
    <w:rsid w:val="00F31E7B"/>
    <w:rsid w:val="00F66BC9"/>
    <w:rsid w:val="00FA537C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B13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B13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2021-02-08T03:21:00Z</dcterms:created>
  <dcterms:modified xsi:type="dcterms:W3CDTF">2021-02-08T03:21:00Z</dcterms:modified>
</cp:coreProperties>
</file>