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C" w:rsidRPr="000E15FC" w:rsidRDefault="000E15FC" w:rsidP="000E1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315F7A" w:rsidRDefault="000E15FC" w:rsidP="000E15FC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</w:t>
      </w:r>
    </w:p>
    <w:p w:rsidR="00C45EA7" w:rsidRPr="000E15FC" w:rsidRDefault="000E15FC" w:rsidP="000E15FC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 w:rsidR="00315F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 </w:t>
      </w:r>
      <w:r w:rsidR="00C45E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ЭНДОКРИНОЛОГИЯ</w:t>
      </w:r>
    </w:p>
    <w:p w:rsidR="000E15FC" w:rsidRPr="00C45EA7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45E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C45EA7" w:rsidRDefault="00C45EA7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FC" w:rsidRPr="006830C8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Блок 1 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Вариативная</w:t>
      </w:r>
      <w:r w:rsidR="004230FD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часть. Дисциплина по выбору (Б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1.В.ДВ.1.</w:t>
      </w:r>
      <w:r w:rsidR="00482E42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74D96" w:rsidRPr="006830C8" w:rsidRDefault="00C74D96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15FC" w:rsidRPr="006830C8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образовательной программы: высшее образование. </w:t>
      </w:r>
    </w:p>
    <w:p w:rsidR="000E15FC" w:rsidRPr="006830C8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кадров высшей квалификации</w:t>
      </w:r>
    </w:p>
    <w:p w:rsidR="000E15FC" w:rsidRPr="006830C8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очная</w:t>
      </w:r>
    </w:p>
    <w:p w:rsidR="000E15FC" w:rsidRPr="006830C8" w:rsidRDefault="000E15FC" w:rsidP="000E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</w:t>
      </w:r>
      <w:r w:rsidR="002A34CD"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дисциплины </w:t>
      </w:r>
      <w:r w:rsidR="00D45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выбору 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2659F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Эндокринология</w:t>
      </w:r>
      <w:r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разработана преподавателями кафедры </w:t>
      </w:r>
      <w:r w:rsidR="00482E42" w:rsidRPr="006830C8">
        <w:rPr>
          <w:rFonts w:ascii="Times New Roman" w:hAnsi="Times New Roman" w:cs="Times New Roman"/>
          <w:sz w:val="20"/>
          <w:szCs w:val="20"/>
        </w:rPr>
        <w:t>эндокринологии и диабетологии</w:t>
      </w:r>
      <w:r w:rsidR="00482E42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учебным планом </w:t>
      </w:r>
      <w:r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31.08.32 ДЕРМАТОВЕНЕРОЛОГИЯ.</w:t>
      </w:r>
    </w:p>
    <w:p w:rsidR="000E15FC" w:rsidRPr="006830C8" w:rsidRDefault="000E15FC" w:rsidP="000E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</w:p>
    <w:p w:rsidR="000E15FC" w:rsidRPr="006830C8" w:rsidRDefault="000E15FC" w:rsidP="000E15FC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0E15FC" w:rsidRPr="006830C8" w:rsidRDefault="000E15FC" w:rsidP="000E15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0E15FC" w:rsidRPr="006830C8" w:rsidRDefault="000E15FC" w:rsidP="000E15FC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</w:t>
      </w:r>
      <w:r w:rsidR="006C3847"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дисциплины </w:t>
      </w:r>
      <w:r w:rsidR="00315F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выбору 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66A8F" w:rsidRPr="006830C8">
        <w:rPr>
          <w:rFonts w:ascii="Times New Roman" w:hAnsi="Times New Roman" w:cs="Times New Roman"/>
          <w:sz w:val="20"/>
          <w:szCs w:val="20"/>
        </w:rPr>
        <w:t>Эндокринология</w:t>
      </w:r>
      <w:bookmarkStart w:id="0" w:name="_GoBack"/>
      <w:bookmarkEnd w:id="0"/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830C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рабочая программа) </w:t>
      </w:r>
      <w:r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относится к вариативной части</w:t>
      </w:r>
      <w:r w:rsidR="000B1F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блока 1</w:t>
      </w:r>
      <w:r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программы ординатуры и является </w:t>
      </w:r>
      <w:r w:rsidR="00C45EA7"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дисциплиной по выбору обучающихся</w:t>
      </w:r>
      <w:r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746841" w:rsidRPr="006830C8" w:rsidRDefault="000E15FC" w:rsidP="009671F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программы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подготовка квалифицированного врача-дерматовенеролога,</w:t>
      </w:r>
      <w:r w:rsidR="00746841" w:rsidRPr="006830C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обладающего системой универсальных, профессиональных компетенций, </w:t>
      </w:r>
      <w:r w:rsidR="00746841" w:rsidRPr="00683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необходимых для решения задач в области смежной дисциплины «эндокринология», </w:t>
      </w:r>
      <w:r w:rsidR="00746841" w:rsidRPr="006830C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способного и готового для самостоятельной профессиональной деятельности.</w:t>
      </w:r>
    </w:p>
    <w:p w:rsidR="000E15FC" w:rsidRDefault="000E15FC" w:rsidP="009671F3">
      <w:pPr>
        <w:numPr>
          <w:ilvl w:val="1"/>
          <w:numId w:val="1"/>
        </w:numPr>
        <w:spacing w:after="0" w:line="240" w:lineRule="auto"/>
        <w:ind w:left="0" w:hanging="11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Трудоемкость освоения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рабочей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0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программы: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841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</w:t>
      </w:r>
      <w:r w:rsidR="00746841"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>етные единицы, что составляет 144</w:t>
      </w:r>
      <w:r w:rsidRPr="0068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академических часа. </w:t>
      </w:r>
    </w:p>
    <w:p w:rsidR="009671F3" w:rsidRPr="006830C8" w:rsidRDefault="009671F3" w:rsidP="009671F3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FC" w:rsidRPr="009671F3" w:rsidRDefault="000E15FC" w:rsidP="000E15F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ПРОГРАММЫ</w:t>
      </w:r>
    </w:p>
    <w:p w:rsidR="009671F3" w:rsidRPr="009671F3" w:rsidRDefault="009671F3" w:rsidP="009671F3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841" w:rsidRPr="006830C8" w:rsidRDefault="00C74D96" w:rsidP="007468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746841" w:rsidRPr="006830C8">
        <w:rPr>
          <w:rFonts w:ascii="Times New Roman" w:eastAsia="Calibri" w:hAnsi="Times New Roman" w:cs="Times New Roman"/>
          <w:sz w:val="20"/>
          <w:szCs w:val="20"/>
        </w:rPr>
        <w:t>Дисциплина «Эндокринология» направлена на формирование у ординатора универсальных и профессиональных компетенций.</w:t>
      </w:r>
    </w:p>
    <w:p w:rsidR="00746841" w:rsidRPr="006830C8" w:rsidRDefault="00746841" w:rsidP="007468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 xml:space="preserve">  Универсальные компетенции (далее - УК): </w:t>
      </w:r>
    </w:p>
    <w:p w:rsidR="00746841" w:rsidRPr="006830C8" w:rsidRDefault="00746841" w:rsidP="007468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>- УК-1 - готовность к абстрактному мышлению, анализу, синтезу</w:t>
      </w:r>
    </w:p>
    <w:p w:rsidR="00746841" w:rsidRPr="006830C8" w:rsidRDefault="00746841" w:rsidP="007468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 xml:space="preserve">  Профессиональные компетенции (далее - ПК):</w:t>
      </w:r>
    </w:p>
    <w:p w:rsidR="00C45EA7" w:rsidRPr="006830C8" w:rsidRDefault="00746841" w:rsidP="00C45E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C45EA7" w:rsidRPr="006830C8">
        <w:rPr>
          <w:rFonts w:ascii="Times New Roman" w:eastAsia="Calibri" w:hAnsi="Times New Roman" w:cs="Times New Roman"/>
          <w:sz w:val="20"/>
          <w:szCs w:val="2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E15FC" w:rsidRPr="006830C8" w:rsidRDefault="00C45EA7" w:rsidP="00C45E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C45EA7" w:rsidRPr="006830C8" w:rsidRDefault="00C45EA7" w:rsidP="00C45E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45EA7" w:rsidRPr="006830C8" w:rsidRDefault="00C45EA7" w:rsidP="00C4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C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6830C8" w:rsidRPr="006830C8">
        <w:rPr>
          <w:rFonts w:ascii="Times New Roman" w:eastAsia="Calibri" w:hAnsi="Times New Roman" w:cs="Times New Roman"/>
          <w:sz w:val="20"/>
          <w:szCs w:val="2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6830C8" w:rsidRPr="009671F3" w:rsidRDefault="006830C8" w:rsidP="000E15F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5FC" w:rsidRPr="009671F3" w:rsidRDefault="000E15FC" w:rsidP="000E15F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0"/>
          <w:szCs w:val="20"/>
          <w:lang w:eastAsia="ru-RU"/>
        </w:rPr>
      </w:pPr>
      <w:r w:rsidRPr="009671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Р</w:t>
      </w:r>
      <w:r w:rsidRPr="009671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АБОЧЕЙ ПРОГРАММЫ</w:t>
      </w:r>
    </w:p>
    <w:p w:rsidR="006830C8" w:rsidRPr="000E15FC" w:rsidRDefault="006830C8" w:rsidP="006830C8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5"/>
        <w:gridCol w:w="7320"/>
        <w:gridCol w:w="1559"/>
      </w:tblGrid>
      <w:tr w:rsidR="00482E42" w:rsidRPr="006830C8" w:rsidTr="006830C8">
        <w:trPr>
          <w:tblHeader/>
        </w:trPr>
        <w:tc>
          <w:tcPr>
            <w:tcW w:w="1435" w:type="dxa"/>
          </w:tcPr>
          <w:p w:rsidR="00482E42" w:rsidRPr="006830C8" w:rsidRDefault="00482E42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746841" w:rsidRPr="006830C8" w:rsidRDefault="00746841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</w:tcPr>
          <w:p w:rsidR="00482E42" w:rsidRPr="006830C8" w:rsidRDefault="00482E42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тем, элементов и подэлементов</w:t>
            </w:r>
          </w:p>
        </w:tc>
        <w:tc>
          <w:tcPr>
            <w:tcW w:w="1559" w:type="dxa"/>
          </w:tcPr>
          <w:p w:rsidR="00482E42" w:rsidRPr="006830C8" w:rsidRDefault="00482E42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482E42" w:rsidRPr="006830C8" w:rsidRDefault="00746841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482E42" w:rsidRPr="00683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омпетенций</w:t>
            </w:r>
          </w:p>
          <w:p w:rsidR="00746841" w:rsidRPr="006830C8" w:rsidRDefault="00746841" w:rsidP="0068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30C8" w:rsidRPr="006830C8" w:rsidTr="006830C8">
        <w:tc>
          <w:tcPr>
            <w:tcW w:w="1435" w:type="dxa"/>
          </w:tcPr>
          <w:p w:rsidR="006830C8" w:rsidRPr="006830C8" w:rsidRDefault="006830C8" w:rsidP="00683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/>
                <w:sz w:val="20"/>
                <w:szCs w:val="20"/>
              </w:rPr>
              <w:t>Б1.В.ДВ1.1</w:t>
            </w:r>
          </w:p>
        </w:tc>
        <w:tc>
          <w:tcPr>
            <w:tcW w:w="7320" w:type="dxa"/>
          </w:tcPr>
          <w:p w:rsidR="006830C8" w:rsidRPr="006830C8" w:rsidRDefault="006830C8" w:rsidP="006830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Эндокринология</w:t>
            </w:r>
          </w:p>
        </w:tc>
        <w:tc>
          <w:tcPr>
            <w:tcW w:w="1559" w:type="dxa"/>
          </w:tcPr>
          <w:p w:rsidR="006830C8" w:rsidRDefault="006830C8" w:rsidP="006830C8">
            <w:pPr>
              <w:pStyle w:val="1"/>
              <w:ind w:left="0" w:firstLine="0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УК1;</w:t>
            </w:r>
          </w:p>
          <w:p w:rsidR="006830C8" w:rsidRPr="006830C8" w:rsidRDefault="006830C8" w:rsidP="006830C8">
            <w:pPr>
              <w:pStyle w:val="1"/>
              <w:ind w:left="0" w:firstLine="0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/>
                <w:bCs/>
                <w:sz w:val="20"/>
                <w:szCs w:val="20"/>
              </w:rPr>
              <w:t xml:space="preserve"> ПК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-</w:t>
            </w:r>
            <w:r w:rsidRPr="006830C8">
              <w:rPr>
                <w:rFonts w:ascii="Times New Roman" w:cs="Times New Roman"/>
                <w:b/>
                <w:bCs/>
                <w:sz w:val="20"/>
                <w:szCs w:val="20"/>
              </w:rPr>
              <w:t>1,2,5,9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</w:t>
            </w: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Нейрогуморальная регуляция эндокринной системы.  Биосинтез, транспорт, метаболизм, биологическое действие  гормонов. 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Б1.В.ДВ1.1.2</w:t>
            </w: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Функциональная и топическая диагностика в эндокринологии. Лабораторная оценка эндокринных функций. Топическая диагностика эндокринных заболеваний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 1,5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Б1.В.ДВ1.1.3</w:t>
            </w: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Гипоталамический синдром пубертатного периода. Этиология, патогенез, клинические проявления; особенности поражения кожи.  Диагностика, принципы лечения, прогноз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Б1.В.ДВ1.1.4</w:t>
            </w: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Соматотропные аденомы гипофиза. Акромегалия. Гигантизм. Распространенность, этиология, патогенез, клиника, диагностика, принципы лечения, прогноз.   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Б1.В.ДВ1.1.5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Гиперпролактинемии. Гиперпролактинемический гипогонадизм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 xml:space="preserve">УК1, </w:t>
            </w:r>
            <w:r w:rsidR="002A34CD" w:rsidRPr="006830C8">
              <w:rPr>
                <w:rFonts w:ascii="Times New Roman" w:cs="Times New Roman"/>
                <w:bCs/>
                <w:sz w:val="20"/>
                <w:szCs w:val="20"/>
              </w:rPr>
              <w:t>ПК1,2,5,</w:t>
            </w: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Б1.В.ДВ1.1.6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Синдром патологического гиперкортицизма. Болезнь и синдром Иценко-Кушинга. Распространенность, классификация; этиология, патогенез, клиника, особенности поражения кожи. Диагностика, дифференциальный диагноз. Лечение (хирургическое, лучевая и медикаментозная терапия), прогноз. Эктопированный АКТГ-синдром. Эпидемиология, классификация, этиология, патогенез, клиника, диагностика: определение суточной экскреции кортизола в моче; малая и большая пробы с дексаметазоном; определение уровня АКТГ, проба с КРГ; топическая диагностика: КТ или МРТ головного мозга, надпочечников, КТ легких и средостения; УЗИ органов малого таза. брюшной полости; эндоскопическое исследование ЖКТ. Оценка эффективности лечения: суточная экскреция кортизола с мочой; уровни кортизола и АКТГ в плазме крови; ритм секреции кортизола и АКТГ. Прогноз 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Б1.В.ДВ1.1.7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Врожденная дисфункция коры надпочечников (ВДКН). Формы ВДКН. Дефицит 21-гидроксилазы (р450с21). Эпидемиология, классификация, клинические проявления: пренатальная вирилизации. постнатальная вирилизация, синдром потери соли; репродуктивная функция при классической форме дефицита 21-гидроксилазы; клинические особенности неклассической формы дефицита 21-гидроксилазы. Неонатальная диагностика. Основные методы исследования: лабораторная диагностика; УЗИ надпочечников и малого таза у девочек. Дифференциальный диагноз. Терапия: препараты гормонов коры надпочечников; антагонисты половых гормонов. Осложнения и побочные эффекты лечения.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Б1.В.ДВ1.1.8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Врожденная дисфункция коры надпочечников. Дефицит 11β-гидроксилазы (р450с11β). Эпидемиология, этиология и патогенез. Клинические проявления: женский псевдогермафродитизм; постнатальная вирилизация; артериальная гипертензия. Диагностика. Лабораторные методы: биохимический анализ – гипокалиемия и гипернатриемия; 11-дезоксикортизол и 11-дезоксикортикеостерон сыворотки крови и их метаболиты в моче; андрогены сыворотки крови и их метаболиты в моче; АКТГ; АРП. Кариотипирование у детей с неправильным строением наружных гениталий (46ХХ). Дифференциальный диагноз. Терапия. Осложнения и побочные эффекты лечения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Б1.В.ДВ1.1.9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Первичная хроническая недостаточность коры надпочечников (ПХНН). Эпидемиология, Классификация. Этиология, патогенез. Клинические проявления. Гиперпигментация кожи и слизистых – наиболее характерный симптом ПХНН. Лабораторная диагностика: экскреция свободного кортизола в суточной моче; проба с АКТГ; гиперкалиемия/гипонатриемия; АКТГ; АРП. Заместительная терапия глюкокортикостероидами и минералокортикоидами. Оценка эффективности лечения (по глюкокортикоидному и минералокортикоидному компонентам) осложнения и побочные эффекты терапии. Прогноз.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Б1.В.ДВ1.1.10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Острая недостаточность коры надпочечников. Классификация. Этиология, патогенез. Клинические признаки. Принципы лечения: массированная заместительная терапия кортикостероидными средствами; регидратация и коррекция электролитных расстройств; устранение причины декомпенсации; симптоматическая терапия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Б1.В.ДВ1.1.11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Ожирение. Эпидемиология, классификация. Этиология, патогенез. Клинические проявления. Особенности поражения кожи при ожирении. Диагностика и дифференциальный диагноз. Основные подходы к лечению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Б1.В.ДВ1.1.12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Сахарный диабет. Классификация. Сахарный диабет 1 типа. Распространенность, этиология, патогенез. Клинические признаки. Принципы лечения. Сахарный диабет 2 типа. Эпидемиология, этиология, патогенез. Клинические признаки. Принципы лечения. Специфические и неспецифические поражения кожи при сахарном диабете. Острые и хронические осложнения сахарного диабета: их </w:t>
            </w: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диагностика, клинические проявления. Рациональные подходы к лечению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Б1.В.ДВ1.1.13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Гипотиреоз. Классификация (патогенетическая, клиническая), течение (перманентный, транзиторный) Первичный гипотиреоз. эпидемиология, классификация. Этиология,  патогенез, клинические проявления. гипотиреоидная дермопатия и синдром эктодермальных нарушений. Диагноз, дифференциальный диагноз. Лечение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Б1.В.ДВ1.1.14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Синдром тиреотоксикоза. Эпидемиология, классификация. Этиология, патогенез. Клинические проявления. Синдром эктодермальных нарушений. Диагностика тиреотоксикоза. Принципы лечения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9671F3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У</w:t>
            </w:r>
            <w:r w:rsidR="002A34CD" w:rsidRPr="006830C8">
              <w:rPr>
                <w:rFonts w:ascii="Times New Roman" w:cs="Times New Roman"/>
                <w:bCs/>
                <w:sz w:val="20"/>
                <w:szCs w:val="20"/>
              </w:rPr>
              <w:t>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Б1.В.ДВ1.1.15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Задержка полового развития (ЗПР). Классификация. Клинические признаки функциональной формы ЗПР, врожденной и приобретенной форм гипогонадизма гипогонадотропного и гипергонадотропного. Диагноз, дифференциальный диагноз. Принципы лечения</w:t>
            </w:r>
          </w:p>
        </w:tc>
        <w:tc>
          <w:tcPr>
            <w:tcW w:w="1559" w:type="dxa"/>
          </w:tcPr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Б1.В.ДВ1.1.16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Преждевременное половое развитие (ППР). Эпидемиология, классификация. Этиология, патогенез, клинические признаки. Диагноз, дифференциальный диагноз. принципы лечения.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Б1.В.ДВ1.1.17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iCs/>
                <w:sz w:val="20"/>
                <w:szCs w:val="20"/>
              </w:rPr>
              <w:t>Гипофункция яичников. Формы гипофункции: гипергонадотропная, гипогонадотропная и нормогонадотропная. Гипергонадотропная гипофункция яичников: агенезия гонад, синдром истощенных яичников, синдром резистентных яичников; климактерический синдром. Клинические симптомы; особенности поражения кожи. Диагностика и дифференциальный диагноз</w:t>
            </w:r>
          </w:p>
        </w:tc>
        <w:tc>
          <w:tcPr>
            <w:tcW w:w="1559" w:type="dxa"/>
          </w:tcPr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Б1.В.ДВ1.1.18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Мужской гипогонадизм. Классификация, этиология, патогенез, клинические признаки. Диагноз, дифференциальный диагноз. Принципы лечения гипергонадотропного и гипогонадотропного гипогонадизма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Б1.В.ДВ1.1.19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Эректильная дисфункция. Классификация. Этиология, патогенез. Клинические проявления. Принципы лечения.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Б1.В.ДВ1.1.20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Возрастной андрогенный дефицит. Этиология, патогенез. Клинические проявления. Диагноз, дифференциальный диагноз. Принципы лечения</w:t>
            </w:r>
          </w:p>
        </w:tc>
        <w:tc>
          <w:tcPr>
            <w:tcW w:w="1559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</w:p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46841" w:rsidRPr="006830C8" w:rsidTr="006830C8">
        <w:tc>
          <w:tcPr>
            <w:tcW w:w="1435" w:type="dxa"/>
          </w:tcPr>
          <w:p w:rsidR="00746841" w:rsidRPr="006830C8" w:rsidRDefault="00746841" w:rsidP="0068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C8">
              <w:rPr>
                <w:rFonts w:ascii="Times New Roman" w:hAnsi="Times New Roman" w:cs="Times New Roman"/>
                <w:sz w:val="20"/>
                <w:szCs w:val="20"/>
              </w:rPr>
              <w:t>Б1.В.ДВ1.1.21</w:t>
            </w:r>
          </w:p>
          <w:p w:rsidR="00746841" w:rsidRPr="006830C8" w:rsidRDefault="00746841" w:rsidP="006830C8">
            <w:pPr>
              <w:pStyle w:val="1"/>
              <w:ind w:left="0" w:firstLine="0"/>
              <w:jc w:val="center"/>
              <w:rPr>
                <w:rFonts w:asci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0" w:type="dxa"/>
          </w:tcPr>
          <w:p w:rsidR="00746841" w:rsidRPr="006830C8" w:rsidRDefault="00746841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iCs/>
                <w:sz w:val="20"/>
                <w:szCs w:val="20"/>
              </w:rPr>
              <w:t>Гинекомастия. Этиология, патогенез. Клинические проявления. Диагноз, дифференциальный диагноз. Принципы лечения</w:t>
            </w:r>
          </w:p>
        </w:tc>
        <w:tc>
          <w:tcPr>
            <w:tcW w:w="1559" w:type="dxa"/>
          </w:tcPr>
          <w:p w:rsidR="00746841" w:rsidRPr="006830C8" w:rsidRDefault="002A34CD" w:rsidP="006830C8">
            <w:pPr>
              <w:pStyle w:val="1"/>
              <w:ind w:left="0" w:firstLine="0"/>
              <w:rPr>
                <w:rFonts w:ascii="Times New Roman" w:cs="Times New Roman"/>
                <w:bCs/>
                <w:sz w:val="20"/>
                <w:szCs w:val="20"/>
              </w:rPr>
            </w:pPr>
            <w:r w:rsidRPr="006830C8">
              <w:rPr>
                <w:rFonts w:ascii="Times New Roman" w:cs="Times New Roman"/>
                <w:bCs/>
                <w:sz w:val="20"/>
                <w:szCs w:val="20"/>
              </w:rPr>
              <w:t>УК1, ПК1,2,5,</w:t>
            </w:r>
            <w:r w:rsidR="00746841" w:rsidRPr="006830C8">
              <w:rPr>
                <w:rFonts w:ascii="Times New Roman" w:cs="Times New Roman"/>
                <w:bCs/>
                <w:sz w:val="20"/>
                <w:szCs w:val="20"/>
              </w:rPr>
              <w:t>9</w:t>
            </w:r>
          </w:p>
        </w:tc>
      </w:tr>
    </w:tbl>
    <w:p w:rsidR="000E15FC" w:rsidRPr="000E15FC" w:rsidRDefault="000E15FC" w:rsidP="000E15FC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FC" w:rsidRDefault="000E15FC" w:rsidP="000E15FC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9671F3" w:rsidRPr="000E15FC" w:rsidRDefault="009671F3" w:rsidP="009671F3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видеолекции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0E15FC" w:rsidRPr="000E15FC" w:rsidRDefault="000E15FC" w:rsidP="000E15FC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дистанционные модули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7C6CE7" w:rsidRDefault="007C6CE7"/>
    <w:sectPr w:rsidR="007C6CE7" w:rsidSect="006830C8">
      <w:headerReference w:type="default" r:id="rId8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66" w:rsidRDefault="00B23A66">
      <w:pPr>
        <w:spacing w:after="0" w:line="240" w:lineRule="auto"/>
      </w:pPr>
      <w:r>
        <w:separator/>
      </w:r>
    </w:p>
  </w:endnote>
  <w:endnote w:type="continuationSeparator" w:id="1">
    <w:p w:rsidR="00B23A66" w:rsidRDefault="00B2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66" w:rsidRDefault="00B23A66">
      <w:pPr>
        <w:spacing w:after="0" w:line="240" w:lineRule="auto"/>
      </w:pPr>
      <w:r>
        <w:separator/>
      </w:r>
    </w:p>
  </w:footnote>
  <w:footnote w:type="continuationSeparator" w:id="1">
    <w:p w:rsidR="00B23A66" w:rsidRDefault="00B2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F733D5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482E42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0B1F4A">
      <w:rPr>
        <w:noProof/>
        <w:sz w:val="20"/>
        <w:szCs w:val="20"/>
      </w:rPr>
      <w:t>3</w:t>
    </w:r>
    <w:r w:rsidRPr="00BF40E9">
      <w:rPr>
        <w:sz w:val="20"/>
        <w:szCs w:val="20"/>
      </w:rPr>
      <w:fldChar w:fldCharType="end"/>
    </w:r>
  </w:p>
  <w:p w:rsidR="00E104B8" w:rsidRDefault="00B23A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F2914A6"/>
    <w:multiLevelType w:val="multilevel"/>
    <w:tmpl w:val="AFBA1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F3"/>
    <w:rsid w:val="00012C7B"/>
    <w:rsid w:val="00066A8F"/>
    <w:rsid w:val="000A4CC6"/>
    <w:rsid w:val="000B1F4A"/>
    <w:rsid w:val="000E15FC"/>
    <w:rsid w:val="001C1FC5"/>
    <w:rsid w:val="002A34CD"/>
    <w:rsid w:val="0030052B"/>
    <w:rsid w:val="00315F7A"/>
    <w:rsid w:val="004230FD"/>
    <w:rsid w:val="00482E42"/>
    <w:rsid w:val="004B784D"/>
    <w:rsid w:val="005554D0"/>
    <w:rsid w:val="00604837"/>
    <w:rsid w:val="006830C8"/>
    <w:rsid w:val="00695B21"/>
    <w:rsid w:val="006C3847"/>
    <w:rsid w:val="00746841"/>
    <w:rsid w:val="007C6CE7"/>
    <w:rsid w:val="0092659F"/>
    <w:rsid w:val="009671F3"/>
    <w:rsid w:val="00B01920"/>
    <w:rsid w:val="00B23A66"/>
    <w:rsid w:val="00B373F3"/>
    <w:rsid w:val="00B67AE2"/>
    <w:rsid w:val="00BD2251"/>
    <w:rsid w:val="00C45EA7"/>
    <w:rsid w:val="00C74D96"/>
    <w:rsid w:val="00CB30DE"/>
    <w:rsid w:val="00D452A4"/>
    <w:rsid w:val="00F7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5FC"/>
  </w:style>
  <w:style w:type="paragraph" w:styleId="a5">
    <w:name w:val="List Paragraph"/>
    <w:basedOn w:val="a"/>
    <w:uiPriority w:val="34"/>
    <w:qFormat/>
    <w:rsid w:val="00746841"/>
    <w:pPr>
      <w:ind w:left="720"/>
      <w:contextualSpacing/>
    </w:pPr>
  </w:style>
  <w:style w:type="paragraph" w:customStyle="1" w:styleId="1">
    <w:name w:val="Абзац списка1"/>
    <w:basedOn w:val="a"/>
    <w:rsid w:val="00746841"/>
    <w:pPr>
      <w:widowControl w:val="0"/>
      <w:spacing w:after="0" w:line="240" w:lineRule="auto"/>
      <w:ind w:left="720" w:firstLine="709"/>
      <w:contextualSpacing/>
      <w:jc w:val="both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2B53-5C25-4D3F-A009-70B3D5BF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14</cp:revision>
  <dcterms:created xsi:type="dcterms:W3CDTF">2018-12-08T13:28:00Z</dcterms:created>
  <dcterms:modified xsi:type="dcterms:W3CDTF">2019-02-15T07:54:00Z</dcterms:modified>
</cp:coreProperties>
</file>